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79" w:rsidRDefault="00894979"/>
    <w:tbl>
      <w:tblPr>
        <w:tblW w:w="73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316"/>
      </w:tblGrid>
      <w:tr w:rsidR="00894979" w:rsidRPr="00894979" w:rsidTr="00894979">
        <w:trPr>
          <w:trHeight w:val="465"/>
          <w:jc w:val="center"/>
        </w:trPr>
        <w:tc>
          <w:tcPr>
            <w:tcW w:w="7316" w:type="dxa"/>
            <w:shd w:val="clear" w:color="auto" w:fill="auto"/>
            <w:noWrap/>
            <w:vAlign w:val="center"/>
            <w:hideMark/>
          </w:tcPr>
          <w:p w:rsidR="00894979" w:rsidRPr="00894979" w:rsidRDefault="00EA4A23" w:rsidP="00EA4A2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Ex</w:t>
            </w:r>
            <w:r w:rsidR="00894979" w:rsidRPr="00894979">
              <w:rPr>
                <w:rFonts w:ascii="Arial" w:eastAsia="Times New Roman" w:hAnsi="Arial" w:cs="Arial"/>
                <w:b/>
                <w:bCs/>
              </w:rPr>
              <w:t>ample Risk Events</w:t>
            </w:r>
          </w:p>
        </w:tc>
      </w:tr>
      <w:tr w:rsidR="00894979" w:rsidRPr="00894979" w:rsidTr="00894979">
        <w:trPr>
          <w:trHeight w:val="495"/>
          <w:jc w:val="center"/>
        </w:trPr>
        <w:tc>
          <w:tcPr>
            <w:tcW w:w="7316" w:type="dxa"/>
            <w:shd w:val="clear" w:color="auto" w:fill="FBD4B4" w:themeFill="accent6" w:themeFillTint="66"/>
            <w:noWrap/>
            <w:vAlign w:val="center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Construction Risks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center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Unidentified utility impacts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Unexpected archeological findings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Changes during construction not in contract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Unidentified hazardous waste</w:t>
            </w:r>
          </w:p>
        </w:tc>
      </w:tr>
      <w:tr w:rsidR="00894979" w:rsidRPr="00894979" w:rsidTr="00894979">
        <w:trPr>
          <w:trHeight w:val="240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Site is unsafe for workers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Delays due to traffic management and lane closures</w:t>
            </w:r>
          </w:p>
        </w:tc>
      </w:tr>
      <w:tr w:rsidR="00894979" w:rsidRPr="00894979" w:rsidTr="00894979">
        <w:trPr>
          <w:trHeight w:val="495"/>
          <w:jc w:val="center"/>
        </w:trPr>
        <w:tc>
          <w:tcPr>
            <w:tcW w:w="7316" w:type="dxa"/>
            <w:shd w:val="clear" w:color="auto" w:fill="FBD4B4" w:themeFill="accent6" w:themeFillTint="66"/>
            <w:noWrap/>
            <w:vAlign w:val="center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Design Risks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Incomplete quantity estimates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Insufficient design analysis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Complex hydraulic features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Surveys incomplete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Inaccurate assumptions during the planning phase</w:t>
            </w:r>
          </w:p>
        </w:tc>
      </w:tr>
      <w:tr w:rsidR="00894979" w:rsidRPr="00894979" w:rsidTr="00894979">
        <w:trPr>
          <w:trHeight w:val="495"/>
          <w:jc w:val="center"/>
        </w:trPr>
        <w:tc>
          <w:tcPr>
            <w:tcW w:w="7316" w:type="dxa"/>
            <w:shd w:val="clear" w:color="auto" w:fill="FBD4B4" w:themeFill="accent6" w:themeFillTint="66"/>
            <w:noWrap/>
            <w:vAlign w:val="center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Environmental Risks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Unanticipated noise impacts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Unforeseen Section 4(f) resources affected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Environmental clearance for borrow site required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Unanticipated barriers to wildlife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Unforeseen air quality issues</w:t>
            </w:r>
          </w:p>
        </w:tc>
      </w:tr>
      <w:tr w:rsidR="00894979" w:rsidRPr="00894979" w:rsidTr="00894979">
        <w:trPr>
          <w:trHeight w:val="495"/>
          <w:jc w:val="center"/>
        </w:trPr>
        <w:tc>
          <w:tcPr>
            <w:tcW w:w="7316" w:type="dxa"/>
            <w:shd w:val="clear" w:color="auto" w:fill="FBD4B4" w:themeFill="accent6" w:themeFillTint="66"/>
            <w:noWrap/>
            <w:vAlign w:val="center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External Risks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Project not fully funded</w:t>
            </w:r>
          </w:p>
        </w:tc>
      </w:tr>
      <w:tr w:rsidR="00894979" w:rsidRPr="00894979" w:rsidTr="00894979">
        <w:trPr>
          <w:trHeight w:val="240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Politically driven accelerated schedule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Permit agency actions cause unexpected delays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Public objections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Inflation and other market forces</w:t>
            </w:r>
          </w:p>
        </w:tc>
      </w:tr>
      <w:tr w:rsidR="00894979" w:rsidRPr="00894979" w:rsidTr="00894979">
        <w:trPr>
          <w:trHeight w:val="495"/>
          <w:jc w:val="center"/>
        </w:trPr>
        <w:tc>
          <w:tcPr>
            <w:tcW w:w="7316" w:type="dxa"/>
            <w:shd w:val="clear" w:color="auto" w:fill="FBD4B4" w:themeFill="accent6" w:themeFillTint="66"/>
            <w:noWrap/>
            <w:vAlign w:val="center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Organizational Risks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Resource conflicts with other projects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Inexperienced staff assigned to project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Lack of specialized staff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Approval and decision processes cause delays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Priorities change on existing programs</w:t>
            </w:r>
          </w:p>
        </w:tc>
      </w:tr>
      <w:tr w:rsidR="00894979" w:rsidRPr="00894979" w:rsidTr="00894979">
        <w:trPr>
          <w:trHeight w:val="495"/>
          <w:jc w:val="center"/>
        </w:trPr>
        <w:tc>
          <w:tcPr>
            <w:tcW w:w="7316" w:type="dxa"/>
            <w:shd w:val="clear" w:color="auto" w:fill="FBD4B4" w:themeFill="accent6" w:themeFillTint="66"/>
            <w:noWrap/>
            <w:vAlign w:val="center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Project Management Risks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Inadequate project scoping and scope creep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Consultant and contractor delays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Estimating and/or scheduling errors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Lack of coordination and communication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Unforeseen agreements required</w:t>
            </w:r>
          </w:p>
        </w:tc>
      </w:tr>
      <w:tr w:rsidR="00894979" w:rsidRPr="00894979" w:rsidTr="00894979">
        <w:trPr>
          <w:trHeight w:val="495"/>
          <w:jc w:val="center"/>
        </w:trPr>
        <w:tc>
          <w:tcPr>
            <w:tcW w:w="7316" w:type="dxa"/>
            <w:shd w:val="clear" w:color="auto" w:fill="FBD4B4" w:themeFill="accent6" w:themeFillTint="66"/>
            <w:noWrap/>
            <w:vAlign w:val="center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Right of Way Risks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Unan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icipated escalation in ROW values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Additional ROW may be needed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Acquisition of ROW may take longer than anticipated</w:t>
            </w:r>
          </w:p>
        </w:tc>
      </w:tr>
      <w:tr w:rsidR="00894979" w:rsidRPr="00894979" w:rsidTr="00894979">
        <w:trPr>
          <w:trHeight w:val="255"/>
          <w:jc w:val="center"/>
        </w:trPr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4979" w:rsidRPr="00894979" w:rsidRDefault="00894979" w:rsidP="008949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4979">
              <w:rPr>
                <w:rFonts w:ascii="Arial" w:eastAsia="Times New Roman" w:hAnsi="Arial" w:cs="Arial"/>
                <w:sz w:val="20"/>
                <w:szCs w:val="20"/>
              </w:rPr>
              <w:t>Discovery of hazardous waste during the ROW phase</w:t>
            </w:r>
          </w:p>
        </w:tc>
      </w:tr>
    </w:tbl>
    <w:p w:rsidR="00894979" w:rsidRDefault="00894979"/>
    <w:sectPr w:rsidR="00894979" w:rsidSect="008949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94979"/>
    <w:rsid w:val="000419EA"/>
    <w:rsid w:val="00131A7D"/>
    <w:rsid w:val="004B5B9F"/>
    <w:rsid w:val="006F4F15"/>
    <w:rsid w:val="00894979"/>
    <w:rsid w:val="00AD524A"/>
    <w:rsid w:val="00AF4000"/>
    <w:rsid w:val="00C02634"/>
    <w:rsid w:val="00CB5A98"/>
    <w:rsid w:val="00CC27B8"/>
    <w:rsid w:val="00CD0AA2"/>
    <w:rsid w:val="00E852F1"/>
    <w:rsid w:val="00EA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4</DocSecurity>
  <Lines>10</Lines>
  <Paragraphs>2</Paragraphs>
  <ScaleCrop>false</ScaleCrop>
  <Company>FHWA CFL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matthew.demarco</dc:creator>
  <cp:keywords/>
  <dc:description/>
  <cp:lastModifiedBy>mike.mccann</cp:lastModifiedBy>
  <cp:revision>2</cp:revision>
  <dcterms:created xsi:type="dcterms:W3CDTF">2011-10-07T21:57:00Z</dcterms:created>
  <dcterms:modified xsi:type="dcterms:W3CDTF">2011-10-07T21:57:00Z</dcterms:modified>
</cp:coreProperties>
</file>