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6928" w14:textId="3D8A9396" w:rsidR="00A60786" w:rsidRPr="00A60786" w:rsidRDefault="00A60786" w:rsidP="00A60786">
      <w:bookmarkStart w:id="0" w:name="_GoBack"/>
      <w:bookmarkEnd w:id="0"/>
      <w:r w:rsidRPr="00A60786">
        <w:rPr>
          <w:b/>
          <w:bCs/>
        </w:rPr>
        <w:t>TO:</w:t>
      </w:r>
      <w:r w:rsidR="008516C9">
        <w:rPr>
          <w:b/>
          <w:bCs/>
        </w:rPr>
        <w:t xml:space="preserve"> </w:t>
      </w:r>
      <w:r w:rsidR="008516C9" w:rsidRPr="008516C9">
        <w:rPr>
          <w:b/>
          <w:bCs/>
          <w:color w:val="FF0000"/>
        </w:rPr>
        <w:t xml:space="preserve">[STATE DOT TARGET APPROVER(S) such as DOT Director, Commissioner, </w:t>
      </w:r>
      <w:r w:rsidR="008516C9">
        <w:rPr>
          <w:b/>
          <w:bCs/>
          <w:color w:val="FF0000"/>
        </w:rPr>
        <w:t>or</w:t>
      </w:r>
      <w:r w:rsidR="008516C9" w:rsidRPr="008516C9">
        <w:rPr>
          <w:b/>
          <w:bCs/>
          <w:color w:val="FF0000"/>
        </w:rPr>
        <w:t xml:space="preserve"> Chief Engineer]</w:t>
      </w:r>
    </w:p>
    <w:p w14:paraId="4A95FDAB" w14:textId="77777777" w:rsidR="00A60786" w:rsidRPr="00A60786" w:rsidRDefault="00A60786" w:rsidP="00A60786">
      <w:r w:rsidRPr="00A60786">
        <w:rPr>
          <w:b/>
          <w:bCs/>
        </w:rPr>
        <w:t>FROM:</w:t>
      </w:r>
    </w:p>
    <w:p w14:paraId="773176AA" w14:textId="77777777" w:rsidR="00A60786" w:rsidRPr="00A60786" w:rsidRDefault="00A60786" w:rsidP="00A60786">
      <w:r w:rsidRPr="00A60786">
        <w:rPr>
          <w:b/>
          <w:bCs/>
        </w:rPr>
        <w:t>DATE:</w:t>
      </w:r>
    </w:p>
    <w:p w14:paraId="3FA24707" w14:textId="77777777" w:rsidR="00A60786" w:rsidRPr="00A60786" w:rsidRDefault="00A60786" w:rsidP="00A60786">
      <w:r w:rsidRPr="00A60786">
        <w:rPr>
          <w:b/>
          <w:bCs/>
        </w:rPr>
        <w:t>SUBJECT: Approval of Safety Performance Targets for Highway Safety Improvement Program Annual Report</w:t>
      </w:r>
    </w:p>
    <w:p w14:paraId="4F8BA757" w14:textId="40520312" w:rsidR="00A60786" w:rsidRPr="00A60786" w:rsidRDefault="00A60786" w:rsidP="00A60786">
      <w:r w:rsidRPr="00A60786">
        <w:t xml:space="preserve">Each year, the Federal Highway Administration (FHWA) requires States to establish </w:t>
      </w:r>
      <w:r w:rsidR="00AA6084">
        <w:t>s</w:t>
      </w:r>
      <w:r w:rsidRPr="00A60786">
        <w:t xml:space="preserve">afety </w:t>
      </w:r>
      <w:r w:rsidR="00AA6084">
        <w:t>p</w:t>
      </w:r>
      <w:r w:rsidRPr="00A60786">
        <w:t>erformance targets, as mandated by the Safety Performance Management Measures (Safety PM) Final Rule.</w:t>
      </w:r>
      <w:r w:rsidRPr="00A60786">
        <w:rPr>
          <w:vertAlign w:val="superscript"/>
        </w:rPr>
        <w:footnoteReference w:id="1"/>
      </w:r>
      <w:r w:rsidRPr="00A60786">
        <w:t xml:space="preserve"> The</w:t>
      </w:r>
      <w:r w:rsidR="00066318">
        <w:t>se</w:t>
      </w:r>
      <w:r w:rsidRPr="00A60786">
        <w:t xml:space="preserve"> targets can be used to measure the performance of safety improvements implemented through the Highway Safety Improvement Program (HSIP). The overall goal is to</w:t>
      </w:r>
      <w:r w:rsidR="00DD1C1E">
        <w:t xml:space="preserve"> significantly</w:t>
      </w:r>
      <w:r w:rsidRPr="00A60786">
        <w:t xml:space="preserve"> reduce fatal</w:t>
      </w:r>
      <w:r w:rsidR="00DD1C1E">
        <w:t>ities</w:t>
      </w:r>
      <w:r w:rsidRPr="00A60786">
        <w:t xml:space="preserve"> and serious injur</w:t>
      </w:r>
      <w:r w:rsidR="00DD1C1E">
        <w:t>ies</w:t>
      </w:r>
      <w:r w:rsidRPr="00A60786">
        <w:t xml:space="preserve"> on all public roads by creating a data-driven, performance-based HSIP</w:t>
      </w:r>
      <w:r w:rsidR="00DD1C1E">
        <w:t>.</w:t>
      </w:r>
      <w:r w:rsidRPr="00A60786">
        <w:t xml:space="preserve"> The targets, reported in the State’s annual HSIP report, are due August 31</w:t>
      </w:r>
      <w:r w:rsidR="00DD1C1E">
        <w:t xml:space="preserve"> of each year</w:t>
      </w:r>
      <w:r w:rsidRPr="00A60786">
        <w:t xml:space="preserve">. </w:t>
      </w:r>
    </w:p>
    <w:p w14:paraId="3B9F9F9B" w14:textId="77777777" w:rsidR="00A60786" w:rsidRPr="00A60786" w:rsidRDefault="00A60786" w:rsidP="00A60786">
      <w:r w:rsidRPr="00A60786">
        <w:t xml:space="preserve">Your approval is requested to help ensure </w:t>
      </w:r>
      <w:r w:rsidRPr="00A60786">
        <w:rPr>
          <w:color w:val="FF0000"/>
        </w:rPr>
        <w:t xml:space="preserve">[STATE] </w:t>
      </w:r>
      <w:r w:rsidRPr="00A60786">
        <w:t>sets reasonable and achievable targets for the upcoming year.</w:t>
      </w:r>
    </w:p>
    <w:p w14:paraId="75BABF78" w14:textId="13C4E832" w:rsidR="00A60786" w:rsidRPr="00A60786" w:rsidRDefault="00A60786" w:rsidP="00A60786">
      <w:r w:rsidRPr="00A60786">
        <w:t xml:space="preserve">Safety </w:t>
      </w:r>
      <w:r w:rsidR="0057246A">
        <w:t>p</w:t>
      </w:r>
      <w:r w:rsidRPr="00A60786">
        <w:t xml:space="preserve">erformance targets relate to the following five areas: (1) </w:t>
      </w:r>
      <w:r w:rsidR="00AA6084">
        <w:t>n</w:t>
      </w:r>
      <w:r w:rsidRPr="00A60786">
        <w:t xml:space="preserve">umber of </w:t>
      </w:r>
      <w:r w:rsidR="00AA6084">
        <w:t>f</w:t>
      </w:r>
      <w:r w:rsidRPr="00A60786">
        <w:t>atalities</w:t>
      </w:r>
      <w:r w:rsidR="00066318">
        <w:t>,</w:t>
      </w:r>
      <w:r w:rsidRPr="00A60786">
        <w:t xml:space="preserve"> (2) </w:t>
      </w:r>
      <w:r w:rsidR="00AA6084">
        <w:t>r</w:t>
      </w:r>
      <w:r w:rsidRPr="00A60786">
        <w:t xml:space="preserve">ate of </w:t>
      </w:r>
      <w:r w:rsidR="00AA6084">
        <w:t>f</w:t>
      </w:r>
      <w:r w:rsidRPr="00A60786">
        <w:t xml:space="preserve">atalities per 100 million </w:t>
      </w:r>
      <w:r w:rsidR="00AA6084">
        <w:t>v</w:t>
      </w:r>
      <w:r w:rsidRPr="00A60786">
        <w:t xml:space="preserve">ehicle </w:t>
      </w:r>
      <w:r w:rsidR="00AA6084">
        <w:t>m</w:t>
      </w:r>
      <w:r w:rsidRPr="00A60786">
        <w:t xml:space="preserve">iles </w:t>
      </w:r>
      <w:r w:rsidR="00AA6084">
        <w:t>t</w:t>
      </w:r>
      <w:r w:rsidRPr="00A60786">
        <w:t>raveled (VMT</w:t>
      </w:r>
      <w:r w:rsidR="00066318" w:rsidRPr="00A60786">
        <w:t>)</w:t>
      </w:r>
      <w:r w:rsidR="00066318">
        <w:t>,</w:t>
      </w:r>
      <w:r w:rsidR="00066318" w:rsidRPr="00A60786">
        <w:t xml:space="preserve"> </w:t>
      </w:r>
      <w:r w:rsidRPr="00A60786">
        <w:t xml:space="preserve">(3) </w:t>
      </w:r>
      <w:r w:rsidR="00AA6084">
        <w:t>n</w:t>
      </w:r>
      <w:r w:rsidRPr="00A60786">
        <w:t xml:space="preserve">umber of </w:t>
      </w:r>
      <w:r w:rsidR="00AA6084">
        <w:t>s</w:t>
      </w:r>
      <w:r w:rsidRPr="00A60786">
        <w:t xml:space="preserve">erious </w:t>
      </w:r>
      <w:r w:rsidR="00AA6084">
        <w:t>i</w:t>
      </w:r>
      <w:r w:rsidRPr="00A60786">
        <w:t>njuries</w:t>
      </w:r>
      <w:r w:rsidR="00066318">
        <w:t xml:space="preserve">, </w:t>
      </w:r>
      <w:r w:rsidRPr="00A60786">
        <w:t xml:space="preserve">(4) </w:t>
      </w:r>
      <w:r w:rsidR="00AA6084">
        <w:t>r</w:t>
      </w:r>
      <w:r w:rsidRPr="00A60786">
        <w:t xml:space="preserve">ate of </w:t>
      </w:r>
      <w:r w:rsidR="00AA6084">
        <w:t>s</w:t>
      </w:r>
      <w:r w:rsidRPr="00A60786">
        <w:t xml:space="preserve">erious </w:t>
      </w:r>
      <w:r w:rsidR="00AA6084">
        <w:t>i</w:t>
      </w:r>
      <w:r w:rsidRPr="00A60786">
        <w:t xml:space="preserve">njuries per 100 million VMT, and (5) </w:t>
      </w:r>
      <w:r w:rsidR="00AA6084">
        <w:t>n</w:t>
      </w:r>
      <w:r w:rsidRPr="00A60786">
        <w:t xml:space="preserve">umber of </w:t>
      </w:r>
      <w:r w:rsidR="00AA6084">
        <w:t>n</w:t>
      </w:r>
      <w:r w:rsidRPr="00A60786">
        <w:t xml:space="preserve">on-motorized </w:t>
      </w:r>
      <w:r w:rsidR="00AA6084">
        <w:t>f</w:t>
      </w:r>
      <w:r w:rsidRPr="00A60786">
        <w:t xml:space="preserve">atalities plus </w:t>
      </w:r>
      <w:r w:rsidR="00AA6084">
        <w:t>n</w:t>
      </w:r>
      <w:r w:rsidRPr="00A60786">
        <w:t xml:space="preserve">on-motorized </w:t>
      </w:r>
      <w:r w:rsidR="00AA6084">
        <w:t>s</w:t>
      </w:r>
      <w:r w:rsidRPr="00A60786">
        <w:t xml:space="preserve">erious </w:t>
      </w:r>
      <w:r w:rsidR="00AA6084">
        <w:t>i</w:t>
      </w:r>
      <w:r w:rsidRPr="00A60786">
        <w:t>njuries.</w:t>
      </w:r>
    </w:p>
    <w:p w14:paraId="18504759" w14:textId="77777777" w:rsidR="00A60786" w:rsidRPr="00A60786" w:rsidRDefault="00A60786" w:rsidP="00A60786">
      <w:r w:rsidRPr="00A60786">
        <w:rPr>
          <w:color w:val="FF0000"/>
        </w:rPr>
        <w:t xml:space="preserve">[DEPARTMENT or CONTACT NAME and TITLE] </w:t>
      </w:r>
      <w:r w:rsidRPr="00A60786">
        <w:t>is requesting your approval regarding these targets for their inclusion into this year’s HSIP report. As a</w:t>
      </w:r>
      <w:r w:rsidRPr="00A60786">
        <w:rPr>
          <w:color w:val="FF0000"/>
        </w:rPr>
        <w:t xml:space="preserve"> [WHY WOULD THEY HAVE INTEREST]</w:t>
      </w:r>
      <w:r w:rsidRPr="00A60786">
        <w:t>, you hold interest in the</w:t>
      </w:r>
      <w:r w:rsidRPr="00A60786">
        <w:rPr>
          <w:color w:val="FF0000"/>
        </w:rPr>
        <w:t xml:space="preserve"> [SETTING/OUTCOME]</w:t>
      </w:r>
      <w:r w:rsidRPr="00A60786">
        <w:t xml:space="preserve"> of these targets, and</w:t>
      </w:r>
      <w:r w:rsidRPr="00A60786">
        <w:rPr>
          <w:color w:val="FF0000"/>
        </w:rPr>
        <w:t xml:space="preserve"> [DEPARTMENT NAME] </w:t>
      </w:r>
      <w:r w:rsidRPr="00A60786">
        <w:t>wants to consider all scenarios before finalizing targets.</w:t>
      </w:r>
    </w:p>
    <w:p w14:paraId="5ACDD269" w14:textId="51A1BD53" w:rsidR="00A60786" w:rsidRPr="00A60786" w:rsidRDefault="00A60786" w:rsidP="00A60786">
      <w:r w:rsidRPr="00A60786">
        <w:t>Currently,</w:t>
      </w:r>
      <w:r w:rsidR="00066318">
        <w:t xml:space="preserve"> these are</w:t>
      </w:r>
      <w:r w:rsidRPr="00A60786">
        <w:t xml:space="preserve"> </w:t>
      </w:r>
      <w:r w:rsidRPr="00A60786">
        <w:rPr>
          <w:color w:val="FF0000"/>
        </w:rPr>
        <w:t>[STATE's]</w:t>
      </w:r>
      <w:r w:rsidRPr="00A60786">
        <w:t xml:space="preserve"> rolling </w:t>
      </w:r>
      <w:r w:rsidR="00AA6084">
        <w:t>5</w:t>
      </w:r>
      <w:r w:rsidRPr="00A60786">
        <w:t>-year average</w:t>
      </w:r>
      <w:r w:rsidR="00066318">
        <w:t>s</w:t>
      </w:r>
      <w:r w:rsidRPr="00A60786">
        <w:t xml:space="preserve"> for each </w:t>
      </w:r>
      <w:r w:rsidR="00066318">
        <w:t>performance target</w:t>
      </w:r>
      <w:r w:rsidRPr="00A6078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1"/>
        <w:gridCol w:w="2158"/>
        <w:gridCol w:w="1833"/>
        <w:gridCol w:w="2394"/>
      </w:tblGrid>
      <w:tr w:rsidR="00A60786" w:rsidRPr="00A60786" w14:paraId="284368E3" w14:textId="77777777" w:rsidTr="001502A1">
        <w:trPr>
          <w:trHeight w:val="20"/>
          <w:tblHeader/>
        </w:trPr>
        <w:tc>
          <w:tcPr>
            <w:tcW w:w="1666" w:type="pct"/>
            <w:vMerge w:val="restart"/>
            <w:shd w:val="clear" w:color="auto" w:fill="323E4F" w:themeFill="text2" w:themeFillShade="BF"/>
            <w:vAlign w:val="center"/>
          </w:tcPr>
          <w:p w14:paraId="250DDF03" w14:textId="77777777" w:rsidR="00A60786" w:rsidRPr="00A60786" w:rsidRDefault="00A60786" w:rsidP="00A60786">
            <w:pPr>
              <w:jc w:val="center"/>
              <w:rPr>
                <w:b/>
              </w:rPr>
            </w:pPr>
            <w:r w:rsidRPr="00A60786">
              <w:rPr>
                <w:b/>
              </w:rPr>
              <w:t>Performance Measure</w:t>
            </w:r>
          </w:p>
        </w:tc>
        <w:tc>
          <w:tcPr>
            <w:tcW w:w="2084" w:type="pct"/>
            <w:gridSpan w:val="2"/>
            <w:shd w:val="clear" w:color="auto" w:fill="323E4F" w:themeFill="text2" w:themeFillShade="BF"/>
            <w:vAlign w:val="center"/>
          </w:tcPr>
          <w:p w14:paraId="203139E7" w14:textId="77777777" w:rsidR="00A60786" w:rsidRPr="00A60786" w:rsidRDefault="00A60786" w:rsidP="00A60786">
            <w:pPr>
              <w:jc w:val="center"/>
              <w:rPr>
                <w:b/>
              </w:rPr>
            </w:pPr>
            <w:r w:rsidRPr="00A60786">
              <w:rPr>
                <w:b/>
              </w:rPr>
              <w:t>5-year Rolling Averages</w:t>
            </w:r>
          </w:p>
        </w:tc>
        <w:tc>
          <w:tcPr>
            <w:tcW w:w="1250" w:type="pct"/>
            <w:vMerge w:val="restart"/>
            <w:shd w:val="clear" w:color="auto" w:fill="323E4F" w:themeFill="text2" w:themeFillShade="BF"/>
            <w:vAlign w:val="center"/>
          </w:tcPr>
          <w:p w14:paraId="1B871528" w14:textId="77777777" w:rsidR="00A60786" w:rsidRPr="00A60786" w:rsidRDefault="00A60786" w:rsidP="00A60786">
            <w:pPr>
              <w:jc w:val="center"/>
              <w:rPr>
                <w:b/>
              </w:rPr>
            </w:pPr>
            <w:r w:rsidRPr="00A60786">
              <w:rPr>
                <w:b/>
              </w:rPr>
              <w:t>Target Rationale</w:t>
            </w:r>
          </w:p>
        </w:tc>
      </w:tr>
      <w:tr w:rsidR="00A60786" w:rsidRPr="00A60786" w14:paraId="16A5969D" w14:textId="77777777" w:rsidTr="001502A1">
        <w:trPr>
          <w:trHeight w:val="20"/>
          <w:tblHeader/>
        </w:trPr>
        <w:tc>
          <w:tcPr>
            <w:tcW w:w="1666" w:type="pct"/>
            <w:vMerge/>
            <w:shd w:val="clear" w:color="auto" w:fill="auto"/>
          </w:tcPr>
          <w:p w14:paraId="3D1B9FA3" w14:textId="77777777" w:rsidR="00A60786" w:rsidRPr="00A60786" w:rsidRDefault="00A60786" w:rsidP="00A60786">
            <w:pPr>
              <w:jc w:val="center"/>
            </w:pPr>
          </w:p>
        </w:tc>
        <w:tc>
          <w:tcPr>
            <w:tcW w:w="1127" w:type="pct"/>
            <w:shd w:val="clear" w:color="auto" w:fill="8496B0" w:themeFill="text2" w:themeFillTint="99"/>
            <w:vAlign w:val="center"/>
          </w:tcPr>
          <w:p w14:paraId="67C7FB84" w14:textId="77777777" w:rsidR="00A60786" w:rsidRPr="00A60786" w:rsidRDefault="00A60786" w:rsidP="00A60786">
            <w:pPr>
              <w:jc w:val="center"/>
              <w:rPr>
                <w:b/>
                <w:color w:val="FFFFFF" w:themeColor="background1"/>
              </w:rPr>
            </w:pPr>
            <w:r w:rsidRPr="00A60786">
              <w:rPr>
                <w:b/>
                <w:color w:val="FF0000"/>
              </w:rPr>
              <w:t>[20XX – 20XX]</w:t>
            </w:r>
            <w:r w:rsidRPr="00A60786">
              <w:rPr>
                <w:b/>
                <w:color w:val="FFFFFF" w:themeColor="background1"/>
              </w:rPr>
              <w:t xml:space="preserve"> Baseline Performance</w:t>
            </w:r>
          </w:p>
        </w:tc>
        <w:tc>
          <w:tcPr>
            <w:tcW w:w="957" w:type="pct"/>
            <w:shd w:val="clear" w:color="auto" w:fill="8496B0" w:themeFill="text2" w:themeFillTint="99"/>
            <w:vAlign w:val="center"/>
          </w:tcPr>
          <w:p w14:paraId="7E08E5D8" w14:textId="77777777" w:rsidR="00A60786" w:rsidRPr="00A60786" w:rsidRDefault="00A60786" w:rsidP="00A60786">
            <w:pPr>
              <w:jc w:val="center"/>
              <w:rPr>
                <w:b/>
                <w:color w:val="FFFFFF" w:themeColor="background1"/>
              </w:rPr>
            </w:pPr>
            <w:r w:rsidRPr="00A60786">
              <w:rPr>
                <w:b/>
                <w:color w:val="FF0000"/>
              </w:rPr>
              <w:t>[20XX – 20XX]</w:t>
            </w:r>
            <w:r w:rsidRPr="00A60786">
              <w:rPr>
                <w:b/>
                <w:color w:val="FFFFFF" w:themeColor="background1"/>
              </w:rPr>
              <w:t xml:space="preserve"> Proposed Target</w:t>
            </w:r>
          </w:p>
        </w:tc>
        <w:tc>
          <w:tcPr>
            <w:tcW w:w="1250" w:type="pct"/>
            <w:vMerge/>
            <w:shd w:val="clear" w:color="auto" w:fill="8496B0" w:themeFill="text2" w:themeFillTint="99"/>
          </w:tcPr>
          <w:p w14:paraId="36668914" w14:textId="77777777" w:rsidR="00A60786" w:rsidRPr="00A60786" w:rsidRDefault="00A60786" w:rsidP="00A60786">
            <w:pPr>
              <w:jc w:val="center"/>
              <w:rPr>
                <w:b/>
                <w:color w:val="FF0000"/>
              </w:rPr>
            </w:pPr>
          </w:p>
        </w:tc>
      </w:tr>
      <w:tr w:rsidR="00A60786" w:rsidRPr="00A60786" w14:paraId="7E33056E" w14:textId="77777777" w:rsidTr="001502A1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698FD069" w14:textId="41A3B24A" w:rsidR="00A60786" w:rsidRPr="00A60786" w:rsidRDefault="00AA6084" w:rsidP="00A60786">
            <w:r w:rsidRPr="00A60786">
              <w:t>Number of fatalities (per year)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D3B4202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56015D9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1250" w:type="pct"/>
          </w:tcPr>
          <w:p w14:paraId="02331ED8" w14:textId="77777777" w:rsidR="00A60786" w:rsidRPr="00A60786" w:rsidRDefault="00A60786" w:rsidP="00A60786">
            <w:pPr>
              <w:jc w:val="center"/>
              <w:rPr>
                <w:color w:val="FF0000"/>
              </w:rPr>
            </w:pPr>
          </w:p>
        </w:tc>
      </w:tr>
      <w:tr w:rsidR="00A60786" w:rsidRPr="00A60786" w14:paraId="78D4C1A7" w14:textId="77777777" w:rsidTr="001502A1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06643950" w14:textId="4EFABA83" w:rsidR="00A60786" w:rsidRPr="00A60786" w:rsidRDefault="00AA6084" w:rsidP="00A60786">
            <w:r w:rsidRPr="00A60786">
              <w:t>Rate of fatalities per 100 million vehicle miles traveled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DF76F47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874DFFE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1250" w:type="pct"/>
          </w:tcPr>
          <w:p w14:paraId="26C1EE03" w14:textId="77777777" w:rsidR="00A60786" w:rsidRPr="00A60786" w:rsidRDefault="00A60786" w:rsidP="00A60786">
            <w:pPr>
              <w:jc w:val="center"/>
              <w:rPr>
                <w:color w:val="FF0000"/>
              </w:rPr>
            </w:pPr>
          </w:p>
        </w:tc>
      </w:tr>
      <w:tr w:rsidR="00A60786" w:rsidRPr="00A60786" w14:paraId="19C11223" w14:textId="77777777" w:rsidTr="001502A1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15161856" w14:textId="2CECA00A" w:rsidR="00A60786" w:rsidRPr="00A60786" w:rsidRDefault="00AA6084" w:rsidP="00A60786">
            <w:r w:rsidRPr="00A60786">
              <w:t>Number of serious injuries (per year)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BB047AE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4BA86AD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1250" w:type="pct"/>
          </w:tcPr>
          <w:p w14:paraId="02CD51A0" w14:textId="77777777" w:rsidR="00A60786" w:rsidRPr="00A60786" w:rsidRDefault="00A60786" w:rsidP="00A60786">
            <w:pPr>
              <w:jc w:val="center"/>
              <w:rPr>
                <w:color w:val="FF0000"/>
              </w:rPr>
            </w:pPr>
          </w:p>
        </w:tc>
      </w:tr>
      <w:tr w:rsidR="00A60786" w:rsidRPr="00A60786" w14:paraId="32B75366" w14:textId="77777777" w:rsidTr="001502A1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1EE1863C" w14:textId="65A36916" w:rsidR="00A60786" w:rsidRPr="00A60786" w:rsidRDefault="00AA6084" w:rsidP="00A60786">
            <w:r w:rsidRPr="00A60786">
              <w:t>Rate of serious injuries per 100 million vehicle miles traveled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CE77B25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76C21FD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1250" w:type="pct"/>
          </w:tcPr>
          <w:p w14:paraId="3A60E82A" w14:textId="77777777" w:rsidR="00A60786" w:rsidRPr="00A60786" w:rsidRDefault="00A60786" w:rsidP="00A60786">
            <w:pPr>
              <w:jc w:val="center"/>
              <w:rPr>
                <w:color w:val="FF0000"/>
              </w:rPr>
            </w:pPr>
          </w:p>
        </w:tc>
      </w:tr>
      <w:tr w:rsidR="00A60786" w:rsidRPr="00A60786" w14:paraId="0444AC3E" w14:textId="77777777" w:rsidTr="001502A1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3E07361D" w14:textId="23D28012" w:rsidR="00A60786" w:rsidRPr="00A60786" w:rsidRDefault="00AA6084" w:rsidP="00A60786">
            <w:r w:rsidRPr="00A60786">
              <w:t>Number of non-motorized fatalities and non-motorized serious injuries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35B3CA02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D596F8A" w14:textId="77777777" w:rsidR="00A60786" w:rsidRPr="00A60786" w:rsidRDefault="00A60786" w:rsidP="00A60786">
            <w:pPr>
              <w:jc w:val="center"/>
            </w:pPr>
            <w:r w:rsidRPr="00A60786">
              <w:rPr>
                <w:color w:val="FF0000"/>
              </w:rPr>
              <w:t>XX</w:t>
            </w:r>
          </w:p>
        </w:tc>
        <w:tc>
          <w:tcPr>
            <w:tcW w:w="1250" w:type="pct"/>
          </w:tcPr>
          <w:p w14:paraId="7B18DF8A" w14:textId="77777777" w:rsidR="00A60786" w:rsidRPr="00A60786" w:rsidRDefault="00A60786" w:rsidP="00A60786">
            <w:pPr>
              <w:jc w:val="center"/>
              <w:rPr>
                <w:color w:val="FF0000"/>
              </w:rPr>
            </w:pPr>
          </w:p>
        </w:tc>
      </w:tr>
    </w:tbl>
    <w:p w14:paraId="59908AC8" w14:textId="77777777" w:rsidR="00A60786" w:rsidRPr="00A60786" w:rsidRDefault="00A60786" w:rsidP="00A60786"/>
    <w:p w14:paraId="192906B5" w14:textId="5346F205" w:rsidR="00A60786" w:rsidRPr="00A60786" w:rsidRDefault="00A60786" w:rsidP="00A60786">
      <w:r w:rsidRPr="00A60786">
        <w:lastRenderedPageBreak/>
        <w:t xml:space="preserve">If </w:t>
      </w:r>
      <w:r w:rsidRPr="00A60786">
        <w:rPr>
          <w:color w:val="FF0000"/>
        </w:rPr>
        <w:t xml:space="preserve">[STATE] </w:t>
      </w:r>
      <w:r w:rsidRPr="00A60786">
        <w:t xml:space="preserve">is unable to meet at least </w:t>
      </w:r>
      <w:r w:rsidR="00066318">
        <w:t>four</w:t>
      </w:r>
      <w:r w:rsidR="00066318" w:rsidRPr="00A60786">
        <w:t xml:space="preserve"> </w:t>
      </w:r>
      <w:r w:rsidRPr="00A60786">
        <w:t xml:space="preserve">of the </w:t>
      </w:r>
      <w:r w:rsidR="00066318">
        <w:t>five</w:t>
      </w:r>
      <w:r w:rsidRPr="00A60786">
        <w:t xml:space="preserve"> targets, or if the performance outcome is not better than the baseline performance, </w:t>
      </w:r>
      <w:r w:rsidRPr="00A60786">
        <w:rPr>
          <w:color w:val="FF0000"/>
        </w:rPr>
        <w:t xml:space="preserve">[STATE] </w:t>
      </w:r>
      <w:r w:rsidRPr="00A60786">
        <w:t xml:space="preserve">will be required to use obligation authority equal to </w:t>
      </w:r>
      <w:r w:rsidR="00066318">
        <w:t xml:space="preserve">the </w:t>
      </w:r>
      <w:r w:rsidRPr="00A60786">
        <w:t>HSIP apportionment for HSIP projects only and submit an HSIP Implementation Plan.</w:t>
      </w:r>
    </w:p>
    <w:p w14:paraId="55F2FE62" w14:textId="77777777" w:rsidR="00A60786" w:rsidRPr="00A60786" w:rsidRDefault="00A60786" w:rsidP="00A60786">
      <w:r w:rsidRPr="00A60786">
        <w:t xml:space="preserve">Your input and approval is requested by </w:t>
      </w:r>
      <w:r w:rsidRPr="00A60786">
        <w:rPr>
          <w:color w:val="FF0000"/>
        </w:rPr>
        <w:t>[DUE DATE AND TIME]</w:t>
      </w:r>
      <w:r w:rsidRPr="00A60786">
        <w:t xml:space="preserve"> to </w:t>
      </w:r>
      <w:r w:rsidRPr="00A60786">
        <w:rPr>
          <w:color w:val="FF0000"/>
        </w:rPr>
        <w:t>[DEPARTMENT OR CONTACT NAME]</w:t>
      </w:r>
      <w:r w:rsidRPr="00A60786">
        <w:t>.</w:t>
      </w:r>
    </w:p>
    <w:p w14:paraId="6D1A5B5A" w14:textId="4069FC89" w:rsidR="00A60786" w:rsidRPr="00A60786" w:rsidRDefault="00A60786" w:rsidP="00A60786">
      <w:pPr>
        <w:rPr>
          <w:b/>
        </w:rPr>
      </w:pPr>
      <w:r w:rsidRPr="00A60786">
        <w:t xml:space="preserve">Any questions can be sent to </w:t>
      </w:r>
      <w:r w:rsidRPr="00A60786">
        <w:rPr>
          <w:color w:val="FF0000"/>
        </w:rPr>
        <w:t>[CONTACT FOR QUESTIONS]</w:t>
      </w:r>
      <w:r w:rsidRPr="00A60786">
        <w:t>.</w:t>
      </w:r>
    </w:p>
    <w:p w14:paraId="272F720D" w14:textId="77777777" w:rsidR="00FB6DBA" w:rsidRDefault="00FB6DBA"/>
    <w:sectPr w:rsidR="00FB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F70C7" w14:textId="77777777" w:rsidR="00467935" w:rsidRDefault="00467935" w:rsidP="00A60786">
      <w:pPr>
        <w:spacing w:after="0" w:line="240" w:lineRule="auto"/>
      </w:pPr>
      <w:r>
        <w:separator/>
      </w:r>
    </w:p>
  </w:endnote>
  <w:endnote w:type="continuationSeparator" w:id="0">
    <w:p w14:paraId="56DCE21C" w14:textId="77777777" w:rsidR="00467935" w:rsidRDefault="00467935" w:rsidP="00A6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F2769" w14:textId="77777777" w:rsidR="00467935" w:rsidRDefault="00467935" w:rsidP="00A60786">
      <w:pPr>
        <w:spacing w:after="0" w:line="240" w:lineRule="auto"/>
      </w:pPr>
      <w:r>
        <w:separator/>
      </w:r>
    </w:p>
  </w:footnote>
  <w:footnote w:type="continuationSeparator" w:id="0">
    <w:p w14:paraId="3D6F7671" w14:textId="77777777" w:rsidR="00467935" w:rsidRDefault="00467935" w:rsidP="00A60786">
      <w:pPr>
        <w:spacing w:after="0" w:line="240" w:lineRule="auto"/>
      </w:pPr>
      <w:r>
        <w:continuationSeparator/>
      </w:r>
    </w:p>
  </w:footnote>
  <w:footnote w:id="1">
    <w:p w14:paraId="48CF48C1" w14:textId="77777777" w:rsidR="00A60786" w:rsidRDefault="00A60786" w:rsidP="00A607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4CEC">
        <w:t>The Safety PM Final Rule adds Part 490 to title 23 of the Code of Federal Regulations to implement the performance management requirements in 23 U.S.C. 150.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6"/>
    <w:rsid w:val="00066318"/>
    <w:rsid w:val="00090640"/>
    <w:rsid w:val="00144930"/>
    <w:rsid w:val="00290328"/>
    <w:rsid w:val="00467935"/>
    <w:rsid w:val="0057246A"/>
    <w:rsid w:val="00822F6D"/>
    <w:rsid w:val="008516C9"/>
    <w:rsid w:val="00963A5F"/>
    <w:rsid w:val="009814DA"/>
    <w:rsid w:val="00A60786"/>
    <w:rsid w:val="00AA6084"/>
    <w:rsid w:val="00C80D73"/>
    <w:rsid w:val="00C94C05"/>
    <w:rsid w:val="00DD1C1E"/>
    <w:rsid w:val="00E36ECF"/>
    <w:rsid w:val="00E37059"/>
    <w:rsid w:val="00E668D5"/>
    <w:rsid w:val="00F1556A"/>
    <w:rsid w:val="00F73076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0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60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8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60786"/>
    <w:rPr>
      <w:sz w:val="16"/>
      <w:szCs w:val="16"/>
    </w:rPr>
  </w:style>
  <w:style w:type="table" w:styleId="TableGrid">
    <w:name w:val="Table Grid"/>
    <w:basedOn w:val="TableNormal"/>
    <w:uiPriority w:val="39"/>
    <w:rsid w:val="00A6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07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7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7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60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8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60786"/>
    <w:rPr>
      <w:sz w:val="16"/>
      <w:szCs w:val="16"/>
    </w:rPr>
  </w:style>
  <w:style w:type="table" w:styleId="TableGrid">
    <w:name w:val="Table Grid"/>
    <w:basedOn w:val="TableNormal"/>
    <w:uiPriority w:val="39"/>
    <w:rsid w:val="00A6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07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7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7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8DA8BED82E42B702A2EBF5E8C225" ma:contentTypeVersion="0" ma:contentTypeDescription="Create a new document." ma:contentTypeScope="" ma:versionID="e4c5dc4dd4a9b6a7bf3967ce68808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AA4A0-DF6A-473C-92B6-E27EC6E9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3F926-F28B-4940-8928-6D9623BC7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5E980-978E-4C0A-9D14-6B237FAA8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Jennifer E.</dc:creator>
  <cp:lastModifiedBy>Widman, Laurie</cp:lastModifiedBy>
  <cp:revision>2</cp:revision>
  <dcterms:created xsi:type="dcterms:W3CDTF">2017-11-01T21:01:00Z</dcterms:created>
  <dcterms:modified xsi:type="dcterms:W3CDTF">2017-11-01T21:01:00Z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0x010100FCC28DA8BED82E42B702A2EBF5E8C225</vt:lpwstr>
  </property>
</Properties>
</file>