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5ABD" w14:textId="77777777" w:rsidR="003C5594" w:rsidRPr="003C5594" w:rsidRDefault="003C5594" w:rsidP="003C5594">
      <w:pPr>
        <w:spacing w:after="0"/>
        <w:jc w:val="center"/>
        <w:rPr>
          <w:rFonts w:ascii="Times New Roman" w:hAnsi="Times New Roman" w:cs="Times New Roman"/>
          <w:b/>
          <w:bCs/>
          <w:sz w:val="36"/>
          <w:szCs w:val="36"/>
        </w:rPr>
      </w:pPr>
      <w:r w:rsidRPr="003C5594">
        <w:rPr>
          <w:rFonts w:ascii="Times New Roman" w:hAnsi="Times New Roman" w:cs="Times New Roman"/>
          <w:b/>
          <w:bCs/>
          <w:sz w:val="36"/>
          <w:szCs w:val="36"/>
        </w:rPr>
        <w:t>Federal Lands Transportation Program</w:t>
      </w:r>
    </w:p>
    <w:p w14:paraId="176D82F9" w14:textId="77777777" w:rsidR="00840EF0" w:rsidRDefault="00947C9F" w:rsidP="003C5594">
      <w:pPr>
        <w:spacing w:after="0"/>
        <w:jc w:val="center"/>
        <w:rPr>
          <w:rFonts w:ascii="Times New Roman" w:hAnsi="Times New Roman" w:cs="Times New Roman"/>
          <w:b/>
          <w:bCs/>
          <w:sz w:val="36"/>
          <w:szCs w:val="36"/>
        </w:rPr>
      </w:pPr>
      <w:r>
        <w:rPr>
          <w:rFonts w:ascii="Times New Roman" w:hAnsi="Times New Roman" w:cs="Times New Roman"/>
          <w:b/>
          <w:bCs/>
          <w:sz w:val="36"/>
          <w:szCs w:val="36"/>
        </w:rPr>
        <w:t>Instructions</w:t>
      </w:r>
      <w:r w:rsidR="003C5594" w:rsidRPr="003C5594">
        <w:rPr>
          <w:rFonts w:ascii="Times New Roman" w:hAnsi="Times New Roman" w:cs="Times New Roman"/>
          <w:b/>
          <w:bCs/>
          <w:sz w:val="36"/>
          <w:szCs w:val="36"/>
        </w:rPr>
        <w:t xml:space="preserve"> for Fiscal Years 2022 – 2026 </w:t>
      </w:r>
    </w:p>
    <w:p w14:paraId="7B0A6DAD" w14:textId="5F46358A" w:rsidR="003C5594" w:rsidRDefault="003C5594" w:rsidP="003C5594">
      <w:pPr>
        <w:spacing w:after="0"/>
        <w:jc w:val="center"/>
        <w:rPr>
          <w:rFonts w:ascii="Times New Roman" w:hAnsi="Times New Roman" w:cs="Times New Roman"/>
          <w:b/>
          <w:bCs/>
          <w:sz w:val="36"/>
          <w:szCs w:val="36"/>
        </w:rPr>
      </w:pPr>
      <w:r w:rsidRPr="003C5594">
        <w:rPr>
          <w:rFonts w:ascii="Times New Roman" w:hAnsi="Times New Roman" w:cs="Times New Roman"/>
          <w:b/>
          <w:bCs/>
          <w:sz w:val="36"/>
          <w:szCs w:val="36"/>
        </w:rPr>
        <w:t>Investment Strategy</w:t>
      </w:r>
    </w:p>
    <w:p w14:paraId="2380D9FC" w14:textId="5B199978" w:rsidR="00840EF0" w:rsidRPr="00840EF0" w:rsidRDefault="00840EF0" w:rsidP="003C5594">
      <w:pPr>
        <w:spacing w:after="0"/>
        <w:jc w:val="center"/>
        <w:rPr>
          <w:rFonts w:ascii="Times New Roman" w:hAnsi="Times New Roman" w:cs="Times New Roman"/>
          <w:b/>
          <w:bCs/>
          <w:sz w:val="24"/>
          <w:szCs w:val="24"/>
        </w:rPr>
      </w:pPr>
      <w:r w:rsidRPr="00840EF0">
        <w:rPr>
          <w:rFonts w:ascii="Times New Roman" w:hAnsi="Times New Roman" w:cs="Times New Roman"/>
          <w:b/>
          <w:bCs/>
          <w:sz w:val="24"/>
          <w:szCs w:val="24"/>
        </w:rPr>
        <w:t>Ma</w:t>
      </w:r>
      <w:r w:rsidR="0094308A">
        <w:rPr>
          <w:rFonts w:ascii="Times New Roman" w:hAnsi="Times New Roman" w:cs="Times New Roman"/>
          <w:b/>
          <w:bCs/>
          <w:sz w:val="24"/>
          <w:szCs w:val="24"/>
        </w:rPr>
        <w:t>y</w:t>
      </w:r>
      <w:r w:rsidRPr="00840EF0">
        <w:rPr>
          <w:rFonts w:ascii="Times New Roman" w:hAnsi="Times New Roman" w:cs="Times New Roman"/>
          <w:b/>
          <w:bCs/>
          <w:sz w:val="24"/>
          <w:szCs w:val="24"/>
        </w:rPr>
        <w:t xml:space="preserve"> </w:t>
      </w:r>
      <w:r w:rsidR="0094308A">
        <w:rPr>
          <w:rFonts w:ascii="Times New Roman" w:hAnsi="Times New Roman" w:cs="Times New Roman"/>
          <w:b/>
          <w:bCs/>
          <w:sz w:val="24"/>
          <w:szCs w:val="24"/>
        </w:rPr>
        <w:t>1</w:t>
      </w:r>
      <w:r w:rsidR="00C86B53">
        <w:rPr>
          <w:rFonts w:ascii="Times New Roman" w:hAnsi="Times New Roman" w:cs="Times New Roman"/>
          <w:b/>
          <w:bCs/>
          <w:sz w:val="24"/>
          <w:szCs w:val="24"/>
        </w:rPr>
        <w:t>9</w:t>
      </w:r>
      <w:r w:rsidRPr="00840EF0">
        <w:rPr>
          <w:rFonts w:ascii="Times New Roman" w:hAnsi="Times New Roman" w:cs="Times New Roman"/>
          <w:b/>
          <w:bCs/>
          <w:sz w:val="24"/>
          <w:szCs w:val="24"/>
        </w:rPr>
        <w:t>, 2022</w:t>
      </w:r>
    </w:p>
    <w:bookmarkStart w:id="0" w:name="_Hlk95288821" w:displacedByCustomXml="next"/>
    <w:sdt>
      <w:sdtPr>
        <w:rPr>
          <w:rFonts w:asciiTheme="minorHAnsi" w:eastAsiaTheme="minorEastAsia" w:hAnsiTheme="minorHAnsi" w:cstheme="minorBidi"/>
          <w:b w:val="0"/>
          <w:bCs w:val="0"/>
          <w:color w:val="auto"/>
          <w:sz w:val="22"/>
          <w:szCs w:val="22"/>
        </w:rPr>
        <w:id w:val="473410601"/>
        <w:docPartObj>
          <w:docPartGallery w:val="Table of Contents"/>
          <w:docPartUnique/>
        </w:docPartObj>
      </w:sdtPr>
      <w:sdtEndPr>
        <w:rPr>
          <w:noProof/>
        </w:rPr>
      </w:sdtEndPr>
      <w:sdtContent>
        <w:p w14:paraId="4C12AFC1" w14:textId="4075AB6D" w:rsidR="009E64C8" w:rsidRPr="003C5594" w:rsidRDefault="009E64C8">
          <w:pPr>
            <w:pStyle w:val="TOCHeading"/>
            <w:rPr>
              <w:color w:val="000000" w:themeColor="text1"/>
              <w:sz w:val="32"/>
              <w:szCs w:val="32"/>
            </w:rPr>
          </w:pPr>
          <w:r w:rsidRPr="003C5594">
            <w:rPr>
              <w:color w:val="000000" w:themeColor="text1"/>
              <w:sz w:val="32"/>
              <w:szCs w:val="32"/>
            </w:rPr>
            <w:t>Contents</w:t>
          </w:r>
        </w:p>
        <w:p w14:paraId="51C0FD6D" w14:textId="0A7970A1" w:rsidR="00D238DE" w:rsidRDefault="009E64C8">
          <w:pPr>
            <w:pStyle w:val="TOC1"/>
            <w:rPr>
              <w:noProof/>
            </w:rPr>
          </w:pPr>
          <w:r>
            <w:fldChar w:fldCharType="begin"/>
          </w:r>
          <w:r>
            <w:instrText xml:space="preserve"> TOC \o "1-3" \h \z \u </w:instrText>
          </w:r>
          <w:r>
            <w:fldChar w:fldCharType="separate"/>
          </w:r>
          <w:hyperlink w:anchor="_Toc103684607" w:history="1">
            <w:r w:rsidR="00D238DE" w:rsidRPr="00997702">
              <w:rPr>
                <w:rStyle w:val="Hyperlink"/>
                <w:rFonts w:ascii="Times New Roman" w:hAnsi="Times New Roman" w:cs="Times New Roman"/>
                <w:noProof/>
              </w:rPr>
              <w:t>Purpose</w:t>
            </w:r>
            <w:r w:rsidR="00D238DE">
              <w:rPr>
                <w:noProof/>
                <w:webHidden/>
              </w:rPr>
              <w:tab/>
            </w:r>
            <w:r w:rsidR="00D238DE">
              <w:rPr>
                <w:noProof/>
                <w:webHidden/>
              </w:rPr>
              <w:fldChar w:fldCharType="begin"/>
            </w:r>
            <w:r w:rsidR="00D238DE">
              <w:rPr>
                <w:noProof/>
                <w:webHidden/>
              </w:rPr>
              <w:instrText xml:space="preserve"> PAGEREF _Toc103684607 \h </w:instrText>
            </w:r>
            <w:r w:rsidR="00D238DE">
              <w:rPr>
                <w:noProof/>
                <w:webHidden/>
              </w:rPr>
            </w:r>
            <w:r w:rsidR="00D238DE">
              <w:rPr>
                <w:noProof/>
                <w:webHidden/>
              </w:rPr>
              <w:fldChar w:fldCharType="separate"/>
            </w:r>
            <w:r w:rsidR="00D238DE">
              <w:rPr>
                <w:noProof/>
                <w:webHidden/>
              </w:rPr>
              <w:t>1</w:t>
            </w:r>
            <w:r w:rsidR="00D238DE">
              <w:rPr>
                <w:noProof/>
                <w:webHidden/>
              </w:rPr>
              <w:fldChar w:fldCharType="end"/>
            </w:r>
          </w:hyperlink>
        </w:p>
        <w:p w14:paraId="73C718A9" w14:textId="104402B9" w:rsidR="00D238DE" w:rsidRDefault="009F2A8B">
          <w:pPr>
            <w:pStyle w:val="TOC1"/>
            <w:rPr>
              <w:noProof/>
            </w:rPr>
          </w:pPr>
          <w:hyperlink w:anchor="_Toc103684608" w:history="1">
            <w:r w:rsidR="00D238DE" w:rsidRPr="00997702">
              <w:rPr>
                <w:rStyle w:val="Hyperlink"/>
                <w:rFonts w:ascii="Times New Roman" w:hAnsi="Times New Roman" w:cs="Times New Roman"/>
                <w:noProof/>
              </w:rPr>
              <w:t>Investment Strategy</w:t>
            </w:r>
            <w:r w:rsidR="00D238DE">
              <w:rPr>
                <w:noProof/>
                <w:webHidden/>
              </w:rPr>
              <w:tab/>
            </w:r>
            <w:r w:rsidR="00D238DE">
              <w:rPr>
                <w:noProof/>
                <w:webHidden/>
              </w:rPr>
              <w:fldChar w:fldCharType="begin"/>
            </w:r>
            <w:r w:rsidR="00D238DE">
              <w:rPr>
                <w:noProof/>
                <w:webHidden/>
              </w:rPr>
              <w:instrText xml:space="preserve"> PAGEREF _Toc103684608 \h </w:instrText>
            </w:r>
            <w:r w:rsidR="00D238DE">
              <w:rPr>
                <w:noProof/>
                <w:webHidden/>
              </w:rPr>
            </w:r>
            <w:r w:rsidR="00D238DE">
              <w:rPr>
                <w:noProof/>
                <w:webHidden/>
              </w:rPr>
              <w:fldChar w:fldCharType="separate"/>
            </w:r>
            <w:r w:rsidR="00D238DE">
              <w:rPr>
                <w:noProof/>
                <w:webHidden/>
              </w:rPr>
              <w:t>2</w:t>
            </w:r>
            <w:r w:rsidR="00D238DE">
              <w:rPr>
                <w:noProof/>
                <w:webHidden/>
              </w:rPr>
              <w:fldChar w:fldCharType="end"/>
            </w:r>
          </w:hyperlink>
        </w:p>
        <w:p w14:paraId="3809F1F9" w14:textId="3EEBB1C7" w:rsidR="00D238DE" w:rsidRDefault="009F2A8B">
          <w:pPr>
            <w:pStyle w:val="TOC1"/>
            <w:rPr>
              <w:noProof/>
            </w:rPr>
          </w:pPr>
          <w:hyperlink w:anchor="_Toc103684609" w:history="1">
            <w:r w:rsidR="00D238DE" w:rsidRPr="00997702">
              <w:rPr>
                <w:rStyle w:val="Hyperlink"/>
                <w:rFonts w:ascii="Times New Roman" w:hAnsi="Times New Roman" w:cs="Times New Roman"/>
                <w:noProof/>
              </w:rPr>
              <w:t>Investment Strategy Composition</w:t>
            </w:r>
            <w:r w:rsidR="00D238DE">
              <w:rPr>
                <w:noProof/>
                <w:webHidden/>
              </w:rPr>
              <w:tab/>
            </w:r>
            <w:r w:rsidR="00D238DE">
              <w:rPr>
                <w:noProof/>
                <w:webHidden/>
              </w:rPr>
              <w:fldChar w:fldCharType="begin"/>
            </w:r>
            <w:r w:rsidR="00D238DE">
              <w:rPr>
                <w:noProof/>
                <w:webHidden/>
              </w:rPr>
              <w:instrText xml:space="preserve"> PAGEREF _Toc103684609 \h </w:instrText>
            </w:r>
            <w:r w:rsidR="00D238DE">
              <w:rPr>
                <w:noProof/>
                <w:webHidden/>
              </w:rPr>
            </w:r>
            <w:r w:rsidR="00D238DE">
              <w:rPr>
                <w:noProof/>
                <w:webHidden/>
              </w:rPr>
              <w:fldChar w:fldCharType="separate"/>
            </w:r>
            <w:r w:rsidR="00D238DE">
              <w:rPr>
                <w:noProof/>
                <w:webHidden/>
              </w:rPr>
              <w:t>2</w:t>
            </w:r>
            <w:r w:rsidR="00D238DE">
              <w:rPr>
                <w:noProof/>
                <w:webHidden/>
              </w:rPr>
              <w:fldChar w:fldCharType="end"/>
            </w:r>
          </w:hyperlink>
        </w:p>
        <w:p w14:paraId="7094AA8E" w14:textId="6AAAA602" w:rsidR="00D238DE" w:rsidRDefault="009F2A8B">
          <w:pPr>
            <w:pStyle w:val="TOC1"/>
            <w:rPr>
              <w:noProof/>
            </w:rPr>
          </w:pPr>
          <w:hyperlink w:anchor="_Toc103684610" w:history="1">
            <w:r w:rsidR="00D238DE" w:rsidRPr="00997702">
              <w:rPr>
                <w:rStyle w:val="Hyperlink"/>
                <w:rFonts w:ascii="Times New Roman" w:hAnsi="Times New Roman" w:cs="Times New Roman"/>
                <w:noProof/>
              </w:rPr>
              <w:t>High-Use Federal Recreation Sites or Federal Economic Generators</w:t>
            </w:r>
            <w:r w:rsidR="00D238DE">
              <w:rPr>
                <w:noProof/>
                <w:webHidden/>
              </w:rPr>
              <w:tab/>
            </w:r>
            <w:r w:rsidR="00D238DE">
              <w:rPr>
                <w:noProof/>
                <w:webHidden/>
              </w:rPr>
              <w:fldChar w:fldCharType="begin"/>
            </w:r>
            <w:r w:rsidR="00D238DE">
              <w:rPr>
                <w:noProof/>
                <w:webHidden/>
              </w:rPr>
              <w:instrText xml:space="preserve"> PAGEREF _Toc103684610 \h </w:instrText>
            </w:r>
            <w:r w:rsidR="00D238DE">
              <w:rPr>
                <w:noProof/>
                <w:webHidden/>
              </w:rPr>
            </w:r>
            <w:r w:rsidR="00D238DE">
              <w:rPr>
                <w:noProof/>
                <w:webHidden/>
              </w:rPr>
              <w:fldChar w:fldCharType="separate"/>
            </w:r>
            <w:r w:rsidR="00D238DE">
              <w:rPr>
                <w:noProof/>
                <w:webHidden/>
              </w:rPr>
              <w:t>5</w:t>
            </w:r>
            <w:r w:rsidR="00D238DE">
              <w:rPr>
                <w:noProof/>
                <w:webHidden/>
              </w:rPr>
              <w:fldChar w:fldCharType="end"/>
            </w:r>
          </w:hyperlink>
        </w:p>
        <w:p w14:paraId="12600645" w14:textId="33C5E264" w:rsidR="00D238DE" w:rsidRDefault="009F2A8B">
          <w:pPr>
            <w:pStyle w:val="TOC1"/>
            <w:rPr>
              <w:noProof/>
            </w:rPr>
          </w:pPr>
          <w:hyperlink w:anchor="_Toc103684611" w:history="1">
            <w:r w:rsidR="00D238DE" w:rsidRPr="00997702">
              <w:rPr>
                <w:rStyle w:val="Hyperlink"/>
                <w:rFonts w:ascii="Times New Roman" w:hAnsi="Times New Roman" w:cs="Times New Roman"/>
                <w:noProof/>
              </w:rPr>
              <w:t>Secretary of Transportation’s Performance Goal Areas</w:t>
            </w:r>
            <w:r w:rsidR="00D238DE">
              <w:rPr>
                <w:noProof/>
                <w:webHidden/>
              </w:rPr>
              <w:tab/>
            </w:r>
            <w:r w:rsidR="00D238DE">
              <w:rPr>
                <w:noProof/>
                <w:webHidden/>
              </w:rPr>
              <w:fldChar w:fldCharType="begin"/>
            </w:r>
            <w:r w:rsidR="00D238DE">
              <w:rPr>
                <w:noProof/>
                <w:webHidden/>
              </w:rPr>
              <w:instrText xml:space="preserve"> PAGEREF _Toc103684611 \h </w:instrText>
            </w:r>
            <w:r w:rsidR="00D238DE">
              <w:rPr>
                <w:noProof/>
                <w:webHidden/>
              </w:rPr>
            </w:r>
            <w:r w:rsidR="00D238DE">
              <w:rPr>
                <w:noProof/>
                <w:webHidden/>
              </w:rPr>
              <w:fldChar w:fldCharType="separate"/>
            </w:r>
            <w:r w:rsidR="00D238DE">
              <w:rPr>
                <w:noProof/>
                <w:webHidden/>
              </w:rPr>
              <w:t>5</w:t>
            </w:r>
            <w:r w:rsidR="00D238DE">
              <w:rPr>
                <w:noProof/>
                <w:webHidden/>
              </w:rPr>
              <w:fldChar w:fldCharType="end"/>
            </w:r>
          </w:hyperlink>
        </w:p>
        <w:p w14:paraId="08DD4223" w14:textId="72481B7E" w:rsidR="00D238DE" w:rsidRDefault="009F2A8B">
          <w:pPr>
            <w:pStyle w:val="TOC1"/>
            <w:rPr>
              <w:noProof/>
            </w:rPr>
          </w:pPr>
          <w:hyperlink w:anchor="_Toc103684612" w:history="1">
            <w:r w:rsidR="00D238DE" w:rsidRPr="00997702">
              <w:rPr>
                <w:rStyle w:val="Hyperlink"/>
                <w:rFonts w:ascii="Times New Roman" w:hAnsi="Times New Roman" w:cs="Times New Roman"/>
                <w:noProof/>
              </w:rPr>
              <w:t>FLMAs’ Secretaries Performance Goals</w:t>
            </w:r>
            <w:r w:rsidR="00D238DE">
              <w:rPr>
                <w:noProof/>
                <w:webHidden/>
              </w:rPr>
              <w:tab/>
            </w:r>
            <w:r w:rsidR="00D238DE">
              <w:rPr>
                <w:noProof/>
                <w:webHidden/>
              </w:rPr>
              <w:fldChar w:fldCharType="begin"/>
            </w:r>
            <w:r w:rsidR="00D238DE">
              <w:rPr>
                <w:noProof/>
                <w:webHidden/>
              </w:rPr>
              <w:instrText xml:space="preserve"> PAGEREF _Toc103684612 \h </w:instrText>
            </w:r>
            <w:r w:rsidR="00D238DE">
              <w:rPr>
                <w:noProof/>
                <w:webHidden/>
              </w:rPr>
            </w:r>
            <w:r w:rsidR="00D238DE">
              <w:rPr>
                <w:noProof/>
                <w:webHidden/>
              </w:rPr>
              <w:fldChar w:fldCharType="separate"/>
            </w:r>
            <w:r w:rsidR="00D238DE">
              <w:rPr>
                <w:noProof/>
                <w:webHidden/>
              </w:rPr>
              <w:t>8</w:t>
            </w:r>
            <w:r w:rsidR="00D238DE">
              <w:rPr>
                <w:noProof/>
                <w:webHidden/>
              </w:rPr>
              <w:fldChar w:fldCharType="end"/>
            </w:r>
          </w:hyperlink>
        </w:p>
        <w:p w14:paraId="2B3EED9E" w14:textId="1C1EA888" w:rsidR="00D238DE" w:rsidRDefault="009F2A8B">
          <w:pPr>
            <w:pStyle w:val="TOC1"/>
            <w:rPr>
              <w:noProof/>
            </w:rPr>
          </w:pPr>
          <w:hyperlink w:anchor="_Toc103684613" w:history="1">
            <w:r w:rsidR="00D238DE" w:rsidRPr="00997702">
              <w:rPr>
                <w:rStyle w:val="Hyperlink"/>
                <w:rFonts w:ascii="Times New Roman" w:hAnsi="Times New Roman" w:cs="Times New Roman"/>
                <w:noProof/>
              </w:rPr>
              <w:t>Annual FLTP Accomplishments Report</w:t>
            </w:r>
            <w:r w:rsidR="00D238DE">
              <w:rPr>
                <w:noProof/>
                <w:webHidden/>
              </w:rPr>
              <w:tab/>
            </w:r>
            <w:r w:rsidR="00D238DE">
              <w:rPr>
                <w:noProof/>
                <w:webHidden/>
              </w:rPr>
              <w:fldChar w:fldCharType="begin"/>
            </w:r>
            <w:r w:rsidR="00D238DE">
              <w:rPr>
                <w:noProof/>
                <w:webHidden/>
              </w:rPr>
              <w:instrText xml:space="preserve"> PAGEREF _Toc103684613 \h </w:instrText>
            </w:r>
            <w:r w:rsidR="00D238DE">
              <w:rPr>
                <w:noProof/>
                <w:webHidden/>
              </w:rPr>
            </w:r>
            <w:r w:rsidR="00D238DE">
              <w:rPr>
                <w:noProof/>
                <w:webHidden/>
              </w:rPr>
              <w:fldChar w:fldCharType="separate"/>
            </w:r>
            <w:r w:rsidR="00D238DE">
              <w:rPr>
                <w:noProof/>
                <w:webHidden/>
              </w:rPr>
              <w:t>8</w:t>
            </w:r>
            <w:r w:rsidR="00D238DE">
              <w:rPr>
                <w:noProof/>
                <w:webHidden/>
              </w:rPr>
              <w:fldChar w:fldCharType="end"/>
            </w:r>
          </w:hyperlink>
        </w:p>
        <w:p w14:paraId="282E8304" w14:textId="541FAA94" w:rsidR="00D238DE" w:rsidRDefault="009F2A8B">
          <w:pPr>
            <w:pStyle w:val="TOC1"/>
            <w:rPr>
              <w:noProof/>
            </w:rPr>
          </w:pPr>
          <w:hyperlink w:anchor="_Toc103684614" w:history="1">
            <w:r w:rsidR="00D238DE" w:rsidRPr="00997702">
              <w:rPr>
                <w:rStyle w:val="Hyperlink"/>
                <w:rFonts w:ascii="Times New Roman" w:hAnsi="Times New Roman" w:cs="Times New Roman"/>
                <w:noProof/>
              </w:rPr>
              <w:t>APPENDIX A</w:t>
            </w:r>
            <w:r w:rsidR="00D238DE">
              <w:rPr>
                <w:noProof/>
                <w:webHidden/>
              </w:rPr>
              <w:tab/>
            </w:r>
            <w:r w:rsidR="00D238DE">
              <w:rPr>
                <w:noProof/>
                <w:webHidden/>
              </w:rPr>
              <w:fldChar w:fldCharType="begin"/>
            </w:r>
            <w:r w:rsidR="00D238DE">
              <w:rPr>
                <w:noProof/>
                <w:webHidden/>
              </w:rPr>
              <w:instrText xml:space="preserve"> PAGEREF _Toc103684614 \h </w:instrText>
            </w:r>
            <w:r w:rsidR="00D238DE">
              <w:rPr>
                <w:noProof/>
                <w:webHidden/>
              </w:rPr>
            </w:r>
            <w:r w:rsidR="00D238DE">
              <w:rPr>
                <w:noProof/>
                <w:webHidden/>
              </w:rPr>
              <w:fldChar w:fldCharType="separate"/>
            </w:r>
            <w:r w:rsidR="00D238DE">
              <w:rPr>
                <w:noProof/>
                <w:webHidden/>
              </w:rPr>
              <w:t>9</w:t>
            </w:r>
            <w:r w:rsidR="00D238DE">
              <w:rPr>
                <w:noProof/>
                <w:webHidden/>
              </w:rPr>
              <w:fldChar w:fldCharType="end"/>
            </w:r>
          </w:hyperlink>
        </w:p>
        <w:p w14:paraId="1B650846" w14:textId="153084D4" w:rsidR="00D238DE" w:rsidRDefault="009F2A8B">
          <w:pPr>
            <w:pStyle w:val="TOC1"/>
            <w:rPr>
              <w:noProof/>
            </w:rPr>
          </w:pPr>
          <w:hyperlink w:anchor="_Toc103684615" w:history="1">
            <w:r w:rsidR="00D238DE" w:rsidRPr="00997702">
              <w:rPr>
                <w:rStyle w:val="Hyperlink"/>
                <w:rFonts w:ascii="Times New Roman" w:hAnsi="Times New Roman" w:cs="Times New Roman"/>
                <w:noProof/>
              </w:rPr>
              <w:t>APPENDIX B</w:t>
            </w:r>
            <w:r w:rsidR="00D238DE">
              <w:rPr>
                <w:noProof/>
                <w:webHidden/>
              </w:rPr>
              <w:tab/>
            </w:r>
            <w:r w:rsidR="00D238DE">
              <w:rPr>
                <w:noProof/>
                <w:webHidden/>
              </w:rPr>
              <w:fldChar w:fldCharType="begin"/>
            </w:r>
            <w:r w:rsidR="00D238DE">
              <w:rPr>
                <w:noProof/>
                <w:webHidden/>
              </w:rPr>
              <w:instrText xml:space="preserve"> PAGEREF _Toc103684615 \h </w:instrText>
            </w:r>
            <w:r w:rsidR="00D238DE">
              <w:rPr>
                <w:noProof/>
                <w:webHidden/>
              </w:rPr>
            </w:r>
            <w:r w:rsidR="00D238DE">
              <w:rPr>
                <w:noProof/>
                <w:webHidden/>
              </w:rPr>
              <w:fldChar w:fldCharType="separate"/>
            </w:r>
            <w:r w:rsidR="00D238DE">
              <w:rPr>
                <w:noProof/>
                <w:webHidden/>
              </w:rPr>
              <w:t>10</w:t>
            </w:r>
            <w:r w:rsidR="00D238DE">
              <w:rPr>
                <w:noProof/>
                <w:webHidden/>
              </w:rPr>
              <w:fldChar w:fldCharType="end"/>
            </w:r>
          </w:hyperlink>
        </w:p>
        <w:p w14:paraId="0DFB146A" w14:textId="7B050983" w:rsidR="00D238DE" w:rsidRDefault="009F2A8B">
          <w:pPr>
            <w:pStyle w:val="TOC1"/>
            <w:rPr>
              <w:noProof/>
            </w:rPr>
          </w:pPr>
          <w:hyperlink w:anchor="_Toc103684616" w:history="1">
            <w:r w:rsidR="00D238DE" w:rsidRPr="00997702">
              <w:rPr>
                <w:rStyle w:val="Hyperlink"/>
                <w:rFonts w:ascii="Times New Roman" w:hAnsi="Times New Roman" w:cs="Times New Roman"/>
                <w:noProof/>
              </w:rPr>
              <w:t>APPENDIX C</w:t>
            </w:r>
            <w:r w:rsidR="00D238DE">
              <w:rPr>
                <w:noProof/>
                <w:webHidden/>
              </w:rPr>
              <w:tab/>
            </w:r>
            <w:r w:rsidR="00D238DE">
              <w:rPr>
                <w:noProof/>
                <w:webHidden/>
              </w:rPr>
              <w:fldChar w:fldCharType="begin"/>
            </w:r>
            <w:r w:rsidR="00D238DE">
              <w:rPr>
                <w:noProof/>
                <w:webHidden/>
              </w:rPr>
              <w:instrText xml:space="preserve"> PAGEREF _Toc103684616 \h </w:instrText>
            </w:r>
            <w:r w:rsidR="00D238DE">
              <w:rPr>
                <w:noProof/>
                <w:webHidden/>
              </w:rPr>
            </w:r>
            <w:r w:rsidR="00D238DE">
              <w:rPr>
                <w:noProof/>
                <w:webHidden/>
              </w:rPr>
              <w:fldChar w:fldCharType="separate"/>
            </w:r>
            <w:r w:rsidR="00D238DE">
              <w:rPr>
                <w:noProof/>
                <w:webHidden/>
              </w:rPr>
              <w:t>11</w:t>
            </w:r>
            <w:r w:rsidR="00D238DE">
              <w:rPr>
                <w:noProof/>
                <w:webHidden/>
              </w:rPr>
              <w:fldChar w:fldCharType="end"/>
            </w:r>
          </w:hyperlink>
        </w:p>
        <w:p w14:paraId="744AD5B6" w14:textId="46644E6F" w:rsidR="00D238DE" w:rsidRDefault="009F2A8B">
          <w:pPr>
            <w:pStyle w:val="TOC1"/>
            <w:rPr>
              <w:noProof/>
            </w:rPr>
          </w:pPr>
          <w:hyperlink w:anchor="_Toc103684617" w:history="1">
            <w:r w:rsidR="00D238DE" w:rsidRPr="00997702">
              <w:rPr>
                <w:rStyle w:val="Hyperlink"/>
                <w:rFonts w:ascii="Times New Roman" w:hAnsi="Times New Roman" w:cs="Times New Roman"/>
                <w:noProof/>
              </w:rPr>
              <w:t>APPENDIX D</w:t>
            </w:r>
            <w:r w:rsidR="00D238DE">
              <w:rPr>
                <w:noProof/>
                <w:webHidden/>
              </w:rPr>
              <w:tab/>
            </w:r>
            <w:r w:rsidR="00D238DE">
              <w:rPr>
                <w:noProof/>
                <w:webHidden/>
              </w:rPr>
              <w:fldChar w:fldCharType="begin"/>
            </w:r>
            <w:r w:rsidR="00D238DE">
              <w:rPr>
                <w:noProof/>
                <w:webHidden/>
              </w:rPr>
              <w:instrText xml:space="preserve"> PAGEREF _Toc103684617 \h </w:instrText>
            </w:r>
            <w:r w:rsidR="00D238DE">
              <w:rPr>
                <w:noProof/>
                <w:webHidden/>
              </w:rPr>
            </w:r>
            <w:r w:rsidR="00D238DE">
              <w:rPr>
                <w:noProof/>
                <w:webHidden/>
              </w:rPr>
              <w:fldChar w:fldCharType="separate"/>
            </w:r>
            <w:r w:rsidR="00D238DE">
              <w:rPr>
                <w:noProof/>
                <w:webHidden/>
              </w:rPr>
              <w:t>12</w:t>
            </w:r>
            <w:r w:rsidR="00D238DE">
              <w:rPr>
                <w:noProof/>
                <w:webHidden/>
              </w:rPr>
              <w:fldChar w:fldCharType="end"/>
            </w:r>
          </w:hyperlink>
        </w:p>
        <w:p w14:paraId="03ED506A" w14:textId="75F59196" w:rsidR="009E64C8" w:rsidRDefault="009E64C8">
          <w:r>
            <w:rPr>
              <w:b/>
              <w:bCs/>
              <w:noProof/>
            </w:rPr>
            <w:fldChar w:fldCharType="end"/>
          </w:r>
        </w:p>
      </w:sdtContent>
    </w:sdt>
    <w:bookmarkEnd w:id="0" w:displacedByCustomXml="prev"/>
    <w:p w14:paraId="75472060" w14:textId="5154E6C8" w:rsidR="008D08FB" w:rsidRPr="0076575F" w:rsidRDefault="00371AD3" w:rsidP="000040B4">
      <w:pPr>
        <w:pStyle w:val="Heading1"/>
        <w:spacing w:before="0" w:after="200"/>
        <w:rPr>
          <w:rFonts w:ascii="Times New Roman" w:hAnsi="Times New Roman" w:cs="Times New Roman"/>
          <w:color w:val="auto"/>
        </w:rPr>
      </w:pPr>
      <w:bookmarkStart w:id="1" w:name="_Toc103684607"/>
      <w:r w:rsidRPr="0076575F">
        <w:rPr>
          <w:rFonts w:ascii="Times New Roman" w:hAnsi="Times New Roman" w:cs="Times New Roman"/>
          <w:color w:val="auto"/>
          <w:sz w:val="32"/>
          <w:szCs w:val="32"/>
        </w:rPr>
        <w:t>Purpose</w:t>
      </w:r>
      <w:bookmarkEnd w:id="1"/>
      <w:r w:rsidR="008D08FB" w:rsidRPr="0076575F">
        <w:rPr>
          <w:rFonts w:ascii="Times New Roman" w:hAnsi="Times New Roman" w:cs="Times New Roman"/>
          <w:color w:val="auto"/>
        </w:rPr>
        <w:t xml:space="preserve"> </w:t>
      </w:r>
    </w:p>
    <w:p w14:paraId="44B1F451" w14:textId="08187F31" w:rsidR="00A77280" w:rsidRPr="009D62DE" w:rsidRDefault="00DF17DA" w:rsidP="000040B4">
      <w:pPr>
        <w:pStyle w:val="NoSpacing"/>
        <w:spacing w:after="200" w:line="276" w:lineRule="auto"/>
        <w:jc w:val="both"/>
        <w:rPr>
          <w:rFonts w:ascii="Times New Roman" w:hAnsi="Times New Roman" w:cs="Times New Roman"/>
          <w:bCs/>
          <w:sz w:val="24"/>
          <w:szCs w:val="24"/>
        </w:rPr>
      </w:pPr>
      <w:r w:rsidRPr="009D62DE">
        <w:rPr>
          <w:rFonts w:ascii="Times New Roman" w:hAnsi="Times New Roman" w:cs="Times New Roman"/>
          <w:sz w:val="24"/>
          <w:szCs w:val="24"/>
        </w:rPr>
        <w:t xml:space="preserve">The purpose of this document is to </w:t>
      </w:r>
      <w:r w:rsidR="004C3389" w:rsidRPr="009D62DE">
        <w:rPr>
          <w:rFonts w:ascii="Times New Roman" w:hAnsi="Times New Roman" w:cs="Times New Roman"/>
          <w:sz w:val="24"/>
          <w:szCs w:val="24"/>
        </w:rPr>
        <w:t xml:space="preserve">provide </w:t>
      </w:r>
      <w:bookmarkStart w:id="2" w:name="_Hlk80949686"/>
      <w:r w:rsidR="00E61411" w:rsidRPr="009D62DE">
        <w:rPr>
          <w:rFonts w:ascii="Times New Roman" w:hAnsi="Times New Roman" w:cs="Times New Roman"/>
          <w:sz w:val="24"/>
          <w:szCs w:val="24"/>
        </w:rPr>
        <w:t>the</w:t>
      </w:r>
      <w:r w:rsidR="00CB7F99" w:rsidRPr="009D62DE">
        <w:rPr>
          <w:rFonts w:ascii="Times New Roman" w:hAnsi="Times New Roman" w:cs="Times New Roman"/>
          <w:sz w:val="24"/>
          <w:szCs w:val="24"/>
        </w:rPr>
        <w:t xml:space="preserve"> eligible Federal Land Management Agencies (FLMA</w:t>
      </w:r>
      <w:r w:rsidR="00E515A9" w:rsidRPr="009D62DE">
        <w:rPr>
          <w:rFonts w:ascii="Times New Roman" w:hAnsi="Times New Roman" w:cs="Times New Roman"/>
          <w:sz w:val="24"/>
          <w:szCs w:val="24"/>
        </w:rPr>
        <w:t>s</w:t>
      </w:r>
      <w:r w:rsidR="00CB7F99" w:rsidRPr="009D62DE">
        <w:rPr>
          <w:rFonts w:ascii="Times New Roman" w:hAnsi="Times New Roman" w:cs="Times New Roman"/>
          <w:sz w:val="24"/>
          <w:szCs w:val="24"/>
        </w:rPr>
        <w:t>)</w:t>
      </w:r>
      <w:r w:rsidR="0035157F" w:rsidRPr="009D62DE">
        <w:rPr>
          <w:rFonts w:ascii="Times New Roman" w:hAnsi="Times New Roman" w:cs="Times New Roman"/>
          <w:sz w:val="24"/>
          <w:szCs w:val="24"/>
        </w:rPr>
        <w:t>,</w:t>
      </w:r>
      <w:r w:rsidR="00CB7F99" w:rsidRPr="009D62DE">
        <w:rPr>
          <w:rFonts w:ascii="Times New Roman" w:hAnsi="Times New Roman" w:cs="Times New Roman"/>
          <w:sz w:val="24"/>
          <w:szCs w:val="24"/>
        </w:rPr>
        <w:t xml:space="preserve"> </w:t>
      </w:r>
      <w:r w:rsidR="0035157F" w:rsidRPr="009D62DE">
        <w:rPr>
          <w:rFonts w:ascii="Times New Roman" w:hAnsi="Times New Roman" w:cs="Times New Roman"/>
          <w:sz w:val="24"/>
          <w:szCs w:val="24"/>
        </w:rPr>
        <w:t xml:space="preserve">who are authorized set funding amounts </w:t>
      </w:r>
      <w:r w:rsidR="00A77280" w:rsidRPr="009D62DE">
        <w:rPr>
          <w:rFonts w:ascii="Times New Roman" w:hAnsi="Times New Roman" w:cs="Times New Roman"/>
          <w:sz w:val="24"/>
          <w:szCs w:val="24"/>
        </w:rPr>
        <w:t xml:space="preserve">in </w:t>
      </w:r>
      <w:bookmarkEnd w:id="2"/>
      <w:r w:rsidR="007F484B">
        <w:rPr>
          <w:rFonts w:ascii="Times New Roman" w:hAnsi="Times New Roman" w:cs="Times New Roman"/>
          <w:bCs/>
          <w:sz w:val="24"/>
          <w:szCs w:val="24"/>
        </w:rPr>
        <w:t xml:space="preserve">the </w:t>
      </w:r>
      <w:r w:rsidR="007F484B" w:rsidRPr="007F484B">
        <w:rPr>
          <w:rFonts w:ascii="Times New Roman" w:hAnsi="Times New Roman" w:cs="Times New Roman"/>
          <w:bCs/>
          <w:sz w:val="24"/>
          <w:szCs w:val="24"/>
        </w:rPr>
        <w:t xml:space="preserve">Infrastructure Investment and Jobs Act </w:t>
      </w:r>
      <w:r w:rsidR="009D0899">
        <w:rPr>
          <w:rFonts w:ascii="Times New Roman" w:hAnsi="Times New Roman" w:cs="Times New Roman"/>
          <w:bCs/>
          <w:sz w:val="24"/>
          <w:szCs w:val="24"/>
        </w:rPr>
        <w:t>(</w:t>
      </w:r>
      <w:r w:rsidR="007F484B">
        <w:rPr>
          <w:rFonts w:ascii="Times New Roman" w:hAnsi="Times New Roman" w:cs="Times New Roman"/>
          <w:bCs/>
          <w:sz w:val="24"/>
          <w:szCs w:val="24"/>
        </w:rPr>
        <w:t>IIJA</w:t>
      </w:r>
      <w:r w:rsidR="009D0899">
        <w:rPr>
          <w:rFonts w:ascii="Times New Roman" w:hAnsi="Times New Roman" w:cs="Times New Roman"/>
          <w:bCs/>
          <w:sz w:val="24"/>
          <w:szCs w:val="24"/>
        </w:rPr>
        <w:t>)</w:t>
      </w:r>
      <w:r w:rsidR="0035157F" w:rsidRPr="009D62DE">
        <w:rPr>
          <w:rFonts w:ascii="Times New Roman" w:hAnsi="Times New Roman" w:cs="Times New Roman"/>
          <w:sz w:val="24"/>
          <w:szCs w:val="24"/>
        </w:rPr>
        <w:t xml:space="preserve">, </w:t>
      </w:r>
      <w:r w:rsidR="008A12AD" w:rsidRPr="009D62DE">
        <w:rPr>
          <w:rFonts w:ascii="Times New Roman" w:hAnsi="Times New Roman" w:cs="Times New Roman"/>
          <w:sz w:val="24"/>
          <w:szCs w:val="24"/>
        </w:rPr>
        <w:t xml:space="preserve">with </w:t>
      </w:r>
      <w:r w:rsidR="00947C9F">
        <w:rPr>
          <w:rFonts w:ascii="Times New Roman" w:hAnsi="Times New Roman" w:cs="Times New Roman"/>
          <w:sz w:val="24"/>
          <w:szCs w:val="24"/>
        </w:rPr>
        <w:t>instructions</w:t>
      </w:r>
      <w:r w:rsidR="004C3389" w:rsidRPr="009D62DE">
        <w:rPr>
          <w:rFonts w:ascii="Times New Roman" w:hAnsi="Times New Roman" w:cs="Times New Roman"/>
          <w:sz w:val="24"/>
          <w:szCs w:val="24"/>
        </w:rPr>
        <w:t xml:space="preserve"> for </w:t>
      </w:r>
      <w:r w:rsidR="00F01DD5" w:rsidRPr="009D62DE">
        <w:rPr>
          <w:rFonts w:ascii="Times New Roman" w:hAnsi="Times New Roman" w:cs="Times New Roman"/>
          <w:sz w:val="24"/>
          <w:szCs w:val="24"/>
        </w:rPr>
        <w:t xml:space="preserve">developing </w:t>
      </w:r>
      <w:r w:rsidR="00553134" w:rsidRPr="009D62DE">
        <w:rPr>
          <w:rFonts w:ascii="Times New Roman" w:hAnsi="Times New Roman" w:cs="Times New Roman"/>
          <w:sz w:val="24"/>
          <w:szCs w:val="24"/>
        </w:rPr>
        <w:t>the</w:t>
      </w:r>
      <w:r w:rsidR="00CB7F99" w:rsidRPr="009D62DE">
        <w:rPr>
          <w:rFonts w:ascii="Times New Roman" w:hAnsi="Times New Roman" w:cs="Times New Roman"/>
          <w:sz w:val="24"/>
          <w:szCs w:val="24"/>
        </w:rPr>
        <w:t>ir</w:t>
      </w:r>
      <w:r w:rsidR="00553134" w:rsidRPr="009D62DE">
        <w:rPr>
          <w:rFonts w:ascii="Times New Roman" w:hAnsi="Times New Roman" w:cs="Times New Roman"/>
          <w:sz w:val="24"/>
          <w:szCs w:val="24"/>
        </w:rPr>
        <w:t xml:space="preserve"> </w:t>
      </w:r>
      <w:r w:rsidR="0035157F" w:rsidRPr="009D62DE">
        <w:rPr>
          <w:rFonts w:ascii="Times New Roman" w:hAnsi="Times New Roman" w:cs="Times New Roman"/>
          <w:sz w:val="24"/>
          <w:szCs w:val="24"/>
        </w:rPr>
        <w:t xml:space="preserve">multi-year </w:t>
      </w:r>
      <w:r w:rsidRPr="009D62DE">
        <w:rPr>
          <w:rFonts w:ascii="Times New Roman" w:hAnsi="Times New Roman" w:cs="Times New Roman"/>
          <w:sz w:val="24"/>
          <w:szCs w:val="24"/>
        </w:rPr>
        <w:t xml:space="preserve">Federal Lands Transportation Program </w:t>
      </w:r>
      <w:r w:rsidR="00B47076" w:rsidRPr="009D62DE">
        <w:rPr>
          <w:rFonts w:ascii="Times New Roman" w:hAnsi="Times New Roman" w:cs="Times New Roman"/>
          <w:sz w:val="24"/>
          <w:szCs w:val="24"/>
        </w:rPr>
        <w:t>(</w:t>
      </w:r>
      <w:r w:rsidR="00380D34" w:rsidRPr="009D62DE">
        <w:rPr>
          <w:rFonts w:ascii="Times New Roman" w:hAnsi="Times New Roman" w:cs="Times New Roman"/>
          <w:sz w:val="24"/>
          <w:szCs w:val="24"/>
        </w:rPr>
        <w:t>FLTP</w:t>
      </w:r>
      <w:r w:rsidR="009C262B" w:rsidRPr="009D62DE">
        <w:rPr>
          <w:rFonts w:ascii="Times New Roman" w:hAnsi="Times New Roman" w:cs="Times New Roman"/>
          <w:sz w:val="24"/>
          <w:szCs w:val="24"/>
        </w:rPr>
        <w:t>)</w:t>
      </w:r>
      <w:r w:rsidR="00DB50B0" w:rsidRPr="009D62DE">
        <w:rPr>
          <w:rFonts w:ascii="Times New Roman" w:hAnsi="Times New Roman" w:cs="Times New Roman"/>
          <w:sz w:val="24"/>
          <w:szCs w:val="24"/>
        </w:rPr>
        <w:t xml:space="preserve"> </w:t>
      </w:r>
      <w:r w:rsidR="00F01DD5" w:rsidRPr="009D62DE">
        <w:rPr>
          <w:rFonts w:ascii="Times New Roman" w:hAnsi="Times New Roman" w:cs="Times New Roman"/>
          <w:sz w:val="24"/>
          <w:szCs w:val="24"/>
        </w:rPr>
        <w:t>investment strategy</w:t>
      </w:r>
      <w:r w:rsidR="0035157F" w:rsidRPr="009D62DE">
        <w:rPr>
          <w:rFonts w:ascii="Times New Roman" w:hAnsi="Times New Roman" w:cs="Times New Roman"/>
          <w:sz w:val="24"/>
          <w:szCs w:val="24"/>
        </w:rPr>
        <w:t>(ies)</w:t>
      </w:r>
      <w:r w:rsidR="00B61C6E" w:rsidRPr="009D62DE">
        <w:rPr>
          <w:rFonts w:ascii="Times New Roman" w:hAnsi="Times New Roman" w:cs="Times New Roman"/>
          <w:sz w:val="24"/>
          <w:szCs w:val="24"/>
        </w:rPr>
        <w:t>.</w:t>
      </w:r>
      <w:r w:rsidR="00D84FF5" w:rsidRPr="009D62DE">
        <w:rPr>
          <w:rFonts w:ascii="Times New Roman" w:hAnsi="Times New Roman" w:cs="Times New Roman"/>
          <w:sz w:val="24"/>
          <w:szCs w:val="24"/>
        </w:rPr>
        <w:t xml:space="preserve"> As recipients of </w:t>
      </w:r>
      <w:r w:rsidR="00D8615D">
        <w:rPr>
          <w:rFonts w:ascii="Times New Roman" w:hAnsi="Times New Roman" w:cs="Times New Roman"/>
          <w:sz w:val="24"/>
          <w:szCs w:val="24"/>
        </w:rPr>
        <w:t>the FLMAs’</w:t>
      </w:r>
      <w:r w:rsidR="00D8615D" w:rsidRPr="009D62DE">
        <w:rPr>
          <w:rFonts w:ascii="Times New Roman" w:hAnsi="Times New Roman" w:cs="Times New Roman"/>
          <w:sz w:val="24"/>
          <w:szCs w:val="24"/>
        </w:rPr>
        <w:t xml:space="preserve"> </w:t>
      </w:r>
      <w:r w:rsidR="00D84FF5" w:rsidRPr="009D62DE">
        <w:rPr>
          <w:rFonts w:ascii="Times New Roman" w:hAnsi="Times New Roman" w:cs="Times New Roman"/>
          <w:sz w:val="24"/>
          <w:szCs w:val="24"/>
        </w:rPr>
        <w:t xml:space="preserve">strategies, </w:t>
      </w:r>
      <w:r w:rsidR="00A77280" w:rsidRPr="009D62DE">
        <w:rPr>
          <w:rFonts w:ascii="Times New Roman" w:hAnsi="Times New Roman" w:cs="Times New Roman"/>
          <w:sz w:val="24"/>
          <w:szCs w:val="24"/>
        </w:rPr>
        <w:t xml:space="preserve">one of </w:t>
      </w:r>
      <w:r w:rsidR="009C463A" w:rsidRPr="009D62DE">
        <w:rPr>
          <w:rFonts w:ascii="Times New Roman" w:hAnsi="Times New Roman" w:cs="Times New Roman"/>
          <w:sz w:val="24"/>
          <w:szCs w:val="24"/>
        </w:rPr>
        <w:t>the Federal Highway Administration</w:t>
      </w:r>
      <w:r w:rsidR="003005B7" w:rsidRPr="009D62DE">
        <w:rPr>
          <w:rFonts w:ascii="Times New Roman" w:hAnsi="Times New Roman" w:cs="Times New Roman"/>
          <w:sz w:val="24"/>
          <w:szCs w:val="24"/>
        </w:rPr>
        <w:t>’</w:t>
      </w:r>
      <w:r w:rsidR="009C463A" w:rsidRPr="009D62DE">
        <w:rPr>
          <w:rFonts w:ascii="Times New Roman" w:hAnsi="Times New Roman" w:cs="Times New Roman"/>
          <w:sz w:val="24"/>
          <w:szCs w:val="24"/>
        </w:rPr>
        <w:t xml:space="preserve">s (FHWA) </w:t>
      </w:r>
      <w:r w:rsidR="00D84FF5" w:rsidRPr="009D62DE">
        <w:rPr>
          <w:rFonts w:ascii="Times New Roman" w:hAnsi="Times New Roman" w:cs="Times New Roman"/>
          <w:sz w:val="24"/>
          <w:szCs w:val="24"/>
        </w:rPr>
        <w:t>stewardship role</w:t>
      </w:r>
      <w:r w:rsidR="00A77280" w:rsidRPr="009D62DE">
        <w:rPr>
          <w:rFonts w:ascii="Times New Roman" w:hAnsi="Times New Roman" w:cs="Times New Roman"/>
          <w:sz w:val="24"/>
          <w:szCs w:val="24"/>
        </w:rPr>
        <w:t>s</w:t>
      </w:r>
      <w:r w:rsidR="00D84FF5" w:rsidRPr="009D62DE">
        <w:rPr>
          <w:rFonts w:ascii="Times New Roman" w:hAnsi="Times New Roman" w:cs="Times New Roman"/>
          <w:sz w:val="24"/>
          <w:szCs w:val="24"/>
        </w:rPr>
        <w:t xml:space="preserve"> is to ensure </w:t>
      </w:r>
      <w:r w:rsidR="003910C3">
        <w:rPr>
          <w:rFonts w:ascii="Times New Roman" w:hAnsi="Times New Roman" w:cs="Times New Roman"/>
          <w:sz w:val="24"/>
          <w:szCs w:val="24"/>
        </w:rPr>
        <w:t>that</w:t>
      </w:r>
      <w:r w:rsidR="00D84FF5" w:rsidRPr="009D62DE">
        <w:rPr>
          <w:rFonts w:ascii="Times New Roman" w:hAnsi="Times New Roman" w:cs="Times New Roman"/>
          <w:sz w:val="24"/>
          <w:szCs w:val="24"/>
        </w:rPr>
        <w:t xml:space="preserve"> FLTP funds are </w:t>
      </w:r>
      <w:r w:rsidR="003910C3">
        <w:rPr>
          <w:rFonts w:ascii="Times New Roman" w:hAnsi="Times New Roman" w:cs="Times New Roman"/>
          <w:sz w:val="24"/>
          <w:szCs w:val="24"/>
        </w:rPr>
        <w:t xml:space="preserve">used in accordance with </w:t>
      </w:r>
      <w:r w:rsidR="00D84FF5" w:rsidRPr="009D62DE">
        <w:rPr>
          <w:rFonts w:ascii="Times New Roman" w:hAnsi="Times New Roman" w:cs="Times New Roman"/>
          <w:sz w:val="24"/>
          <w:szCs w:val="24"/>
        </w:rPr>
        <w:t xml:space="preserve">23 </w:t>
      </w:r>
      <w:r w:rsidR="005D47F8">
        <w:rPr>
          <w:rFonts w:ascii="Times New Roman" w:hAnsi="Times New Roman" w:cs="Times New Roman"/>
          <w:sz w:val="24"/>
          <w:szCs w:val="24"/>
        </w:rPr>
        <w:t>U</w:t>
      </w:r>
      <w:r w:rsidR="008D2989">
        <w:rPr>
          <w:rFonts w:ascii="Times New Roman" w:hAnsi="Times New Roman" w:cs="Times New Roman"/>
          <w:sz w:val="24"/>
          <w:szCs w:val="24"/>
        </w:rPr>
        <w:t xml:space="preserve">nited </w:t>
      </w:r>
      <w:r w:rsidR="005D47F8">
        <w:rPr>
          <w:rFonts w:ascii="Times New Roman" w:hAnsi="Times New Roman" w:cs="Times New Roman"/>
          <w:sz w:val="24"/>
          <w:szCs w:val="24"/>
        </w:rPr>
        <w:t>S</w:t>
      </w:r>
      <w:r w:rsidR="008D2989">
        <w:rPr>
          <w:rFonts w:ascii="Times New Roman" w:hAnsi="Times New Roman" w:cs="Times New Roman"/>
          <w:sz w:val="24"/>
          <w:szCs w:val="24"/>
        </w:rPr>
        <w:t xml:space="preserve">tates </w:t>
      </w:r>
      <w:r w:rsidR="005D47F8">
        <w:rPr>
          <w:rFonts w:ascii="Times New Roman" w:hAnsi="Times New Roman" w:cs="Times New Roman"/>
          <w:sz w:val="24"/>
          <w:szCs w:val="24"/>
        </w:rPr>
        <w:t>C</w:t>
      </w:r>
      <w:r w:rsidR="008D2989">
        <w:rPr>
          <w:rFonts w:ascii="Times New Roman" w:hAnsi="Times New Roman" w:cs="Times New Roman"/>
          <w:sz w:val="24"/>
          <w:szCs w:val="24"/>
        </w:rPr>
        <w:t>ode (U.S.C.)</w:t>
      </w:r>
      <w:r w:rsidR="005D47F8">
        <w:rPr>
          <w:rFonts w:ascii="Times New Roman" w:hAnsi="Times New Roman" w:cs="Times New Roman"/>
          <w:sz w:val="24"/>
          <w:szCs w:val="24"/>
        </w:rPr>
        <w:t xml:space="preserve"> </w:t>
      </w:r>
      <w:r w:rsidR="00D84FF5" w:rsidRPr="009D62DE">
        <w:rPr>
          <w:rFonts w:ascii="Times New Roman" w:hAnsi="Times New Roman" w:cs="Times New Roman"/>
          <w:sz w:val="24"/>
          <w:szCs w:val="24"/>
        </w:rPr>
        <w:t>203</w:t>
      </w:r>
      <w:r w:rsidR="00104B8C" w:rsidRPr="009D62DE">
        <w:rPr>
          <w:rFonts w:ascii="Times New Roman" w:hAnsi="Times New Roman" w:cs="Times New Roman"/>
          <w:sz w:val="24"/>
          <w:szCs w:val="24"/>
        </w:rPr>
        <w:t>.</w:t>
      </w:r>
      <w:r w:rsidR="00D84FF5" w:rsidRPr="009D62DE">
        <w:rPr>
          <w:rFonts w:ascii="Times New Roman" w:hAnsi="Times New Roman" w:cs="Times New Roman"/>
          <w:sz w:val="24"/>
          <w:szCs w:val="24"/>
        </w:rPr>
        <w:t xml:space="preserve"> </w:t>
      </w:r>
      <w:r w:rsidR="00104B8C" w:rsidRPr="009D62DE">
        <w:rPr>
          <w:rFonts w:ascii="Times New Roman" w:hAnsi="Times New Roman" w:cs="Times New Roman"/>
          <w:bCs/>
          <w:sz w:val="24"/>
          <w:szCs w:val="24"/>
        </w:rPr>
        <w:t>T</w:t>
      </w:r>
      <w:r w:rsidR="00E41B5C" w:rsidRPr="009D62DE">
        <w:rPr>
          <w:rFonts w:ascii="Times New Roman" w:hAnsi="Times New Roman" w:cs="Times New Roman"/>
          <w:bCs/>
          <w:sz w:val="24"/>
          <w:szCs w:val="24"/>
        </w:rPr>
        <w:t xml:space="preserve">he law </w:t>
      </w:r>
      <w:r w:rsidR="00227945">
        <w:rPr>
          <w:rFonts w:ascii="Times New Roman" w:hAnsi="Times New Roman" w:cs="Times New Roman"/>
          <w:bCs/>
          <w:sz w:val="24"/>
          <w:szCs w:val="24"/>
        </w:rPr>
        <w:t xml:space="preserve">under 23 U.S.C. 203(b)(2)(B) </w:t>
      </w:r>
      <w:r w:rsidR="00E41B5C" w:rsidRPr="009D62DE">
        <w:rPr>
          <w:rFonts w:ascii="Times New Roman" w:hAnsi="Times New Roman" w:cs="Times New Roman"/>
          <w:bCs/>
          <w:sz w:val="24"/>
          <w:szCs w:val="24"/>
        </w:rPr>
        <w:t xml:space="preserve">cites performance management </w:t>
      </w:r>
      <w:r w:rsidR="00227945">
        <w:rPr>
          <w:rFonts w:ascii="Times New Roman" w:hAnsi="Times New Roman" w:cs="Times New Roman"/>
          <w:bCs/>
          <w:sz w:val="24"/>
          <w:szCs w:val="24"/>
        </w:rPr>
        <w:t>as an area</w:t>
      </w:r>
      <w:r w:rsidR="00104B8C" w:rsidRPr="009D62DE">
        <w:rPr>
          <w:rFonts w:ascii="Times New Roman" w:hAnsi="Times New Roman" w:cs="Times New Roman"/>
          <w:bCs/>
          <w:sz w:val="24"/>
          <w:szCs w:val="24"/>
        </w:rPr>
        <w:t xml:space="preserve"> of consideration by the Secretary </w:t>
      </w:r>
      <w:r w:rsidR="005D47F8">
        <w:rPr>
          <w:rFonts w:ascii="Times New Roman" w:hAnsi="Times New Roman" w:cs="Times New Roman"/>
          <w:bCs/>
          <w:sz w:val="24"/>
          <w:szCs w:val="24"/>
        </w:rPr>
        <w:t xml:space="preserve">of Transportation </w:t>
      </w:r>
      <w:r w:rsidR="00E41B5C" w:rsidRPr="009D62DE">
        <w:rPr>
          <w:rFonts w:ascii="Times New Roman" w:hAnsi="Times New Roman" w:cs="Times New Roman"/>
          <w:bCs/>
          <w:sz w:val="24"/>
          <w:szCs w:val="24"/>
        </w:rPr>
        <w:t xml:space="preserve">on the use of program funds. </w:t>
      </w:r>
      <w:r w:rsidR="003005B7" w:rsidRPr="009D62DE">
        <w:rPr>
          <w:rFonts w:ascii="Times New Roman" w:hAnsi="Times New Roman" w:cs="Times New Roman"/>
          <w:bCs/>
          <w:sz w:val="24"/>
          <w:szCs w:val="24"/>
        </w:rPr>
        <w:t>The Headquarters Office of Federal Lands Highway’s (HFL)</w:t>
      </w:r>
      <w:r w:rsidR="00A77280" w:rsidRPr="009D62DE">
        <w:rPr>
          <w:rFonts w:ascii="Times New Roman" w:hAnsi="Times New Roman" w:cs="Times New Roman"/>
          <w:bCs/>
          <w:sz w:val="24"/>
          <w:szCs w:val="24"/>
        </w:rPr>
        <w:t xml:space="preserve"> review of </w:t>
      </w:r>
      <w:r w:rsidR="00D8615D">
        <w:rPr>
          <w:rFonts w:ascii="Times New Roman" w:hAnsi="Times New Roman" w:cs="Times New Roman"/>
          <w:bCs/>
          <w:sz w:val="24"/>
          <w:szCs w:val="24"/>
        </w:rPr>
        <w:t>the FLMA</w:t>
      </w:r>
      <w:r w:rsidR="00D8615D" w:rsidRPr="009D62DE">
        <w:rPr>
          <w:rFonts w:ascii="Times New Roman" w:hAnsi="Times New Roman" w:cs="Times New Roman"/>
          <w:bCs/>
          <w:sz w:val="24"/>
          <w:szCs w:val="24"/>
        </w:rPr>
        <w:t xml:space="preserve"> </w:t>
      </w:r>
      <w:r w:rsidR="00A77280" w:rsidRPr="009D62DE">
        <w:rPr>
          <w:rFonts w:ascii="Times New Roman" w:hAnsi="Times New Roman" w:cs="Times New Roman"/>
          <w:bCs/>
          <w:sz w:val="24"/>
          <w:szCs w:val="24"/>
        </w:rPr>
        <w:t xml:space="preserve">investment </w:t>
      </w:r>
      <w:r w:rsidR="00227945" w:rsidRPr="009D62DE">
        <w:rPr>
          <w:rFonts w:ascii="Times New Roman" w:hAnsi="Times New Roman" w:cs="Times New Roman"/>
          <w:bCs/>
          <w:sz w:val="24"/>
          <w:szCs w:val="24"/>
        </w:rPr>
        <w:t>strateg</w:t>
      </w:r>
      <w:r w:rsidR="00227945">
        <w:rPr>
          <w:rFonts w:ascii="Times New Roman" w:hAnsi="Times New Roman" w:cs="Times New Roman"/>
          <w:bCs/>
          <w:sz w:val="24"/>
          <w:szCs w:val="24"/>
        </w:rPr>
        <w:t>y</w:t>
      </w:r>
      <w:r w:rsidR="00227945" w:rsidRPr="009D62DE">
        <w:rPr>
          <w:rFonts w:ascii="Times New Roman" w:hAnsi="Times New Roman" w:cs="Times New Roman"/>
          <w:bCs/>
          <w:sz w:val="24"/>
          <w:szCs w:val="24"/>
        </w:rPr>
        <w:t xml:space="preserve"> </w:t>
      </w:r>
      <w:r w:rsidR="00A77280" w:rsidRPr="009D62DE">
        <w:rPr>
          <w:rFonts w:ascii="Times New Roman" w:hAnsi="Times New Roman" w:cs="Times New Roman"/>
          <w:bCs/>
          <w:sz w:val="24"/>
          <w:szCs w:val="24"/>
        </w:rPr>
        <w:t xml:space="preserve">will </w:t>
      </w:r>
      <w:r w:rsidR="00227945" w:rsidRPr="00227945">
        <w:rPr>
          <w:rFonts w:ascii="Times New Roman" w:hAnsi="Times New Roman" w:cs="Times New Roman"/>
          <w:bCs/>
          <w:sz w:val="24"/>
          <w:szCs w:val="24"/>
        </w:rPr>
        <w:t>consider the extent to which the program support</w:t>
      </w:r>
      <w:r w:rsidR="00227945">
        <w:rPr>
          <w:rFonts w:ascii="Times New Roman" w:hAnsi="Times New Roman" w:cs="Times New Roman"/>
          <w:bCs/>
          <w:sz w:val="24"/>
          <w:szCs w:val="24"/>
        </w:rPr>
        <w:t>s</w:t>
      </w:r>
      <w:r w:rsidR="00227945" w:rsidRPr="00227945">
        <w:rPr>
          <w:rFonts w:ascii="Times New Roman" w:hAnsi="Times New Roman" w:cs="Times New Roman"/>
          <w:bCs/>
          <w:sz w:val="24"/>
          <w:szCs w:val="24"/>
        </w:rPr>
        <w:t xml:space="preserve"> performance management</w:t>
      </w:r>
      <w:r w:rsidR="00227945">
        <w:rPr>
          <w:rFonts w:ascii="Times New Roman" w:hAnsi="Times New Roman" w:cs="Times New Roman"/>
          <w:bCs/>
          <w:sz w:val="24"/>
          <w:szCs w:val="24"/>
        </w:rPr>
        <w:t xml:space="preserve"> </w:t>
      </w:r>
      <w:r w:rsidR="0020499F">
        <w:rPr>
          <w:rFonts w:ascii="Times New Roman" w:hAnsi="Times New Roman" w:cs="Times New Roman"/>
          <w:bCs/>
          <w:sz w:val="24"/>
          <w:szCs w:val="24"/>
        </w:rPr>
        <w:t>and will also take</w:t>
      </w:r>
      <w:r w:rsidR="00B318E5">
        <w:rPr>
          <w:rFonts w:ascii="Times New Roman" w:hAnsi="Times New Roman" w:cs="Times New Roman"/>
          <w:bCs/>
          <w:sz w:val="24"/>
          <w:szCs w:val="24"/>
        </w:rPr>
        <w:t xml:space="preserve"> into account </w:t>
      </w:r>
      <w:r w:rsidR="00B318E5" w:rsidRPr="00B318E5">
        <w:rPr>
          <w:rFonts w:ascii="Times New Roman" w:hAnsi="Times New Roman" w:cs="Times New Roman"/>
          <w:bCs/>
          <w:sz w:val="24"/>
          <w:szCs w:val="24"/>
        </w:rPr>
        <w:t xml:space="preserve">the </w:t>
      </w:r>
      <w:r w:rsidR="0020499F">
        <w:rPr>
          <w:rFonts w:ascii="Times New Roman" w:hAnsi="Times New Roman" w:cs="Times New Roman"/>
          <w:bCs/>
          <w:sz w:val="24"/>
          <w:szCs w:val="24"/>
        </w:rPr>
        <w:t xml:space="preserve">Partner </w:t>
      </w:r>
      <w:r w:rsidR="00B318E5" w:rsidRPr="00B318E5">
        <w:rPr>
          <w:rFonts w:ascii="Times New Roman" w:hAnsi="Times New Roman" w:cs="Times New Roman"/>
          <w:bCs/>
          <w:sz w:val="24"/>
          <w:szCs w:val="24"/>
        </w:rPr>
        <w:t xml:space="preserve">resource and asset management goals </w:t>
      </w:r>
      <w:r w:rsidR="006659A9">
        <w:rPr>
          <w:rFonts w:ascii="Times New Roman" w:hAnsi="Times New Roman" w:cs="Times New Roman"/>
          <w:bCs/>
          <w:sz w:val="24"/>
          <w:szCs w:val="24"/>
        </w:rPr>
        <w:t>as described in the FLMA</w:t>
      </w:r>
      <w:r w:rsidR="0020499F">
        <w:rPr>
          <w:rFonts w:ascii="Times New Roman" w:hAnsi="Times New Roman" w:cs="Times New Roman"/>
          <w:bCs/>
          <w:sz w:val="24"/>
          <w:szCs w:val="24"/>
        </w:rPr>
        <w:t>’</w:t>
      </w:r>
      <w:r w:rsidR="006659A9">
        <w:rPr>
          <w:rFonts w:ascii="Times New Roman" w:hAnsi="Times New Roman" w:cs="Times New Roman"/>
          <w:bCs/>
          <w:sz w:val="24"/>
          <w:szCs w:val="24"/>
        </w:rPr>
        <w:t>s investment strategy document.</w:t>
      </w:r>
      <w:r w:rsidR="00A77280" w:rsidRPr="009D62DE">
        <w:rPr>
          <w:rFonts w:ascii="Times New Roman" w:hAnsi="Times New Roman" w:cs="Times New Roman"/>
          <w:bCs/>
          <w:sz w:val="24"/>
          <w:szCs w:val="24"/>
        </w:rPr>
        <w:t xml:space="preserve"> </w:t>
      </w:r>
      <w:r w:rsidR="00104B8C" w:rsidRPr="009D62DE">
        <w:rPr>
          <w:rFonts w:ascii="Times New Roman" w:hAnsi="Times New Roman" w:cs="Times New Roman"/>
          <w:bCs/>
          <w:sz w:val="24"/>
          <w:szCs w:val="24"/>
        </w:rPr>
        <w:t xml:space="preserve">Based on the requirements of the </w:t>
      </w:r>
      <w:r w:rsidR="007F484B">
        <w:rPr>
          <w:rFonts w:ascii="Times New Roman" w:hAnsi="Times New Roman" w:cs="Times New Roman"/>
          <w:bCs/>
          <w:sz w:val="24"/>
          <w:szCs w:val="24"/>
        </w:rPr>
        <w:t>IIJA</w:t>
      </w:r>
      <w:r w:rsidR="00104B8C" w:rsidRPr="009D62DE">
        <w:rPr>
          <w:rFonts w:ascii="Times New Roman" w:hAnsi="Times New Roman" w:cs="Times New Roman"/>
          <w:bCs/>
          <w:sz w:val="24"/>
          <w:szCs w:val="24"/>
        </w:rPr>
        <w:t xml:space="preserve">, all eligible </w:t>
      </w:r>
      <w:r w:rsidR="00D8615D">
        <w:rPr>
          <w:rFonts w:ascii="Times New Roman" w:hAnsi="Times New Roman" w:cs="Times New Roman"/>
          <w:bCs/>
          <w:sz w:val="24"/>
          <w:szCs w:val="24"/>
        </w:rPr>
        <w:t>FLMA</w:t>
      </w:r>
      <w:r w:rsidR="00D8615D" w:rsidRPr="009D62DE">
        <w:rPr>
          <w:rFonts w:ascii="Times New Roman" w:hAnsi="Times New Roman" w:cs="Times New Roman"/>
          <w:bCs/>
          <w:sz w:val="24"/>
          <w:szCs w:val="24"/>
        </w:rPr>
        <w:t xml:space="preserve">s </w:t>
      </w:r>
      <w:r w:rsidR="00104B8C" w:rsidRPr="009D62DE">
        <w:rPr>
          <w:rFonts w:ascii="Times New Roman" w:hAnsi="Times New Roman" w:cs="Times New Roman"/>
          <w:bCs/>
          <w:sz w:val="24"/>
          <w:szCs w:val="24"/>
        </w:rPr>
        <w:t xml:space="preserve">receive </w:t>
      </w:r>
      <w:r w:rsidR="00DA48BE" w:rsidRPr="009D62DE">
        <w:rPr>
          <w:rFonts w:ascii="Times New Roman" w:hAnsi="Times New Roman" w:cs="Times New Roman"/>
          <w:bCs/>
          <w:sz w:val="24"/>
          <w:szCs w:val="24"/>
        </w:rPr>
        <w:t xml:space="preserve">a base authorization amount.  Therefore, unlike past authorizations, these </w:t>
      </w:r>
      <w:r w:rsidR="00947C9F">
        <w:rPr>
          <w:rFonts w:ascii="Times New Roman" w:hAnsi="Times New Roman" w:cs="Times New Roman"/>
          <w:bCs/>
          <w:sz w:val="24"/>
          <w:szCs w:val="24"/>
        </w:rPr>
        <w:t>instructions</w:t>
      </w:r>
      <w:r w:rsidR="00DA48BE" w:rsidRPr="009D62DE">
        <w:rPr>
          <w:rFonts w:ascii="Times New Roman" w:hAnsi="Times New Roman" w:cs="Times New Roman"/>
          <w:bCs/>
          <w:sz w:val="24"/>
          <w:szCs w:val="24"/>
        </w:rPr>
        <w:t xml:space="preserve"> apply to all eligible FLMAs cited in 23 U</w:t>
      </w:r>
      <w:r w:rsidR="005D47F8">
        <w:rPr>
          <w:rFonts w:ascii="Times New Roman" w:hAnsi="Times New Roman" w:cs="Times New Roman"/>
          <w:bCs/>
          <w:sz w:val="24"/>
          <w:szCs w:val="24"/>
        </w:rPr>
        <w:t>.</w:t>
      </w:r>
      <w:r w:rsidR="00DA48BE" w:rsidRPr="009D62DE">
        <w:rPr>
          <w:rFonts w:ascii="Times New Roman" w:hAnsi="Times New Roman" w:cs="Times New Roman"/>
          <w:bCs/>
          <w:sz w:val="24"/>
          <w:szCs w:val="24"/>
        </w:rPr>
        <w:t>S</w:t>
      </w:r>
      <w:r w:rsidR="005D47F8">
        <w:rPr>
          <w:rFonts w:ascii="Times New Roman" w:hAnsi="Times New Roman" w:cs="Times New Roman"/>
          <w:bCs/>
          <w:sz w:val="24"/>
          <w:szCs w:val="24"/>
        </w:rPr>
        <w:t>.</w:t>
      </w:r>
      <w:r w:rsidR="00DA48BE" w:rsidRPr="009D62DE">
        <w:rPr>
          <w:rFonts w:ascii="Times New Roman" w:hAnsi="Times New Roman" w:cs="Times New Roman"/>
          <w:bCs/>
          <w:sz w:val="24"/>
          <w:szCs w:val="24"/>
        </w:rPr>
        <w:t>C</w:t>
      </w:r>
      <w:r w:rsidR="005D47F8">
        <w:rPr>
          <w:rFonts w:ascii="Times New Roman" w:hAnsi="Times New Roman" w:cs="Times New Roman"/>
          <w:bCs/>
          <w:sz w:val="24"/>
          <w:szCs w:val="24"/>
        </w:rPr>
        <w:t>.</w:t>
      </w:r>
      <w:r w:rsidR="00DA48BE" w:rsidRPr="009D62DE">
        <w:rPr>
          <w:rFonts w:ascii="Times New Roman" w:hAnsi="Times New Roman" w:cs="Times New Roman"/>
          <w:bCs/>
          <w:sz w:val="24"/>
          <w:szCs w:val="24"/>
        </w:rPr>
        <w:t xml:space="preserve"> 203</w:t>
      </w:r>
      <w:r w:rsidR="00842627" w:rsidRPr="009D62DE">
        <w:rPr>
          <w:rFonts w:ascii="Times New Roman" w:hAnsi="Times New Roman" w:cs="Times New Roman"/>
          <w:bCs/>
          <w:sz w:val="24"/>
          <w:szCs w:val="24"/>
        </w:rPr>
        <w:t xml:space="preserve">, including </w:t>
      </w:r>
      <w:r w:rsidR="005E7258">
        <w:rPr>
          <w:rFonts w:ascii="Times New Roman" w:hAnsi="Times New Roman" w:cs="Times New Roman"/>
          <w:bCs/>
          <w:sz w:val="24"/>
          <w:szCs w:val="24"/>
        </w:rPr>
        <w:t xml:space="preserve">the </w:t>
      </w:r>
      <w:r w:rsidR="00842627" w:rsidRPr="009D62DE">
        <w:rPr>
          <w:rFonts w:ascii="Times New Roman" w:hAnsi="Times New Roman" w:cs="Times New Roman"/>
          <w:bCs/>
          <w:sz w:val="24"/>
          <w:szCs w:val="24"/>
        </w:rPr>
        <w:t xml:space="preserve">Presidio Trust, the sole independent Federal agency approved for FLTP funding to date. </w:t>
      </w:r>
      <w:r w:rsidR="00DA48BE" w:rsidRPr="009D62DE">
        <w:rPr>
          <w:rFonts w:ascii="Times New Roman" w:hAnsi="Times New Roman" w:cs="Times New Roman"/>
          <w:bCs/>
          <w:sz w:val="24"/>
          <w:szCs w:val="24"/>
        </w:rPr>
        <w:t xml:space="preserve"> </w:t>
      </w:r>
      <w:r w:rsidR="00D8615D">
        <w:rPr>
          <w:rFonts w:ascii="Times New Roman" w:hAnsi="Times New Roman" w:cs="Times New Roman"/>
          <w:bCs/>
          <w:sz w:val="24"/>
          <w:szCs w:val="24"/>
        </w:rPr>
        <w:t>The FLMA</w:t>
      </w:r>
      <w:r w:rsidR="00D8615D" w:rsidRPr="009D62DE">
        <w:rPr>
          <w:rFonts w:ascii="Times New Roman" w:hAnsi="Times New Roman" w:cs="Times New Roman"/>
          <w:bCs/>
          <w:sz w:val="24"/>
          <w:szCs w:val="24"/>
        </w:rPr>
        <w:t xml:space="preserve"> </w:t>
      </w:r>
      <w:r w:rsidR="00786D24" w:rsidRPr="009D62DE">
        <w:rPr>
          <w:rFonts w:ascii="Times New Roman" w:hAnsi="Times New Roman" w:cs="Times New Roman"/>
          <w:bCs/>
          <w:sz w:val="24"/>
          <w:szCs w:val="24"/>
        </w:rPr>
        <w:t xml:space="preserve">responses to the </w:t>
      </w:r>
      <w:r w:rsidR="00D8615D" w:rsidRPr="009D62DE">
        <w:rPr>
          <w:rFonts w:ascii="Times New Roman" w:hAnsi="Times New Roman" w:cs="Times New Roman"/>
          <w:bCs/>
          <w:sz w:val="24"/>
          <w:szCs w:val="24"/>
        </w:rPr>
        <w:t xml:space="preserve">areas </w:t>
      </w:r>
      <w:r w:rsidR="00786D24" w:rsidRPr="009D62DE">
        <w:rPr>
          <w:rFonts w:ascii="Times New Roman" w:hAnsi="Times New Roman" w:cs="Times New Roman"/>
          <w:bCs/>
          <w:sz w:val="24"/>
          <w:szCs w:val="24"/>
        </w:rPr>
        <w:t xml:space="preserve">below should address both current and planned activities within the effective period of </w:t>
      </w:r>
      <w:r w:rsidR="00786D24" w:rsidRPr="009D62DE">
        <w:rPr>
          <w:rFonts w:ascii="Times New Roman" w:hAnsi="Times New Roman" w:cs="Times New Roman"/>
          <w:bCs/>
          <w:sz w:val="24"/>
          <w:szCs w:val="24"/>
        </w:rPr>
        <w:lastRenderedPageBreak/>
        <w:t xml:space="preserve">the </w:t>
      </w:r>
      <w:r w:rsidR="007F484B">
        <w:rPr>
          <w:rFonts w:ascii="Times New Roman" w:hAnsi="Times New Roman" w:cs="Times New Roman"/>
          <w:bCs/>
          <w:sz w:val="24"/>
          <w:szCs w:val="24"/>
        </w:rPr>
        <w:t>IIJA</w:t>
      </w:r>
      <w:r w:rsidR="00786D24" w:rsidRPr="009D62DE">
        <w:rPr>
          <w:rFonts w:ascii="Times New Roman" w:hAnsi="Times New Roman" w:cs="Times New Roman"/>
          <w:bCs/>
          <w:sz w:val="24"/>
          <w:szCs w:val="24"/>
        </w:rPr>
        <w:t xml:space="preserve">.  </w:t>
      </w:r>
      <w:r w:rsidR="005A1308" w:rsidRPr="005A1308">
        <w:rPr>
          <w:rFonts w:ascii="Times New Roman" w:hAnsi="Times New Roman" w:cs="Times New Roman"/>
          <w:bCs/>
          <w:sz w:val="24"/>
          <w:szCs w:val="24"/>
        </w:rPr>
        <w:t>To complement the investment strateg</w:t>
      </w:r>
      <w:r w:rsidR="00227945">
        <w:rPr>
          <w:rFonts w:ascii="Times New Roman" w:hAnsi="Times New Roman" w:cs="Times New Roman"/>
          <w:bCs/>
          <w:sz w:val="24"/>
          <w:szCs w:val="24"/>
        </w:rPr>
        <w:t>y</w:t>
      </w:r>
      <w:r w:rsidR="005A1308" w:rsidRPr="005A1308">
        <w:rPr>
          <w:rFonts w:ascii="Times New Roman" w:hAnsi="Times New Roman" w:cs="Times New Roman"/>
          <w:bCs/>
          <w:sz w:val="24"/>
          <w:szCs w:val="24"/>
        </w:rPr>
        <w:t xml:space="preserve">, annual accomplishment reports will be requested from each </w:t>
      </w:r>
      <w:r w:rsidR="005A1308">
        <w:rPr>
          <w:rFonts w:ascii="Times New Roman" w:hAnsi="Times New Roman" w:cs="Times New Roman"/>
          <w:bCs/>
          <w:sz w:val="24"/>
          <w:szCs w:val="24"/>
        </w:rPr>
        <w:t>FLMA</w:t>
      </w:r>
      <w:r w:rsidR="005A1308" w:rsidRPr="005A1308">
        <w:rPr>
          <w:rFonts w:ascii="Times New Roman" w:hAnsi="Times New Roman" w:cs="Times New Roman"/>
          <w:bCs/>
          <w:sz w:val="24"/>
          <w:szCs w:val="24"/>
        </w:rPr>
        <w:t>.</w:t>
      </w:r>
      <w:r w:rsidR="005A1308">
        <w:rPr>
          <w:rFonts w:ascii="Times New Roman" w:hAnsi="Times New Roman" w:cs="Times New Roman"/>
          <w:bCs/>
          <w:sz w:val="24"/>
          <w:szCs w:val="24"/>
        </w:rPr>
        <w:t xml:space="preserve"> </w:t>
      </w:r>
      <w:r w:rsidR="00D74D73">
        <w:rPr>
          <w:rFonts w:ascii="Times New Roman" w:hAnsi="Times New Roman" w:cs="Times New Roman"/>
          <w:bCs/>
          <w:sz w:val="24"/>
          <w:szCs w:val="24"/>
        </w:rPr>
        <w:t xml:space="preserve">These instructions </w:t>
      </w:r>
      <w:r w:rsidR="007F7F8D">
        <w:rPr>
          <w:rFonts w:ascii="Times New Roman" w:hAnsi="Times New Roman" w:cs="Times New Roman"/>
          <w:bCs/>
          <w:sz w:val="24"/>
          <w:szCs w:val="24"/>
        </w:rPr>
        <w:t>shall remain in place until a new transportation bill is enacted</w:t>
      </w:r>
      <w:r w:rsidR="00D74D73">
        <w:rPr>
          <w:rFonts w:ascii="Times New Roman" w:hAnsi="Times New Roman" w:cs="Times New Roman"/>
          <w:bCs/>
          <w:sz w:val="24"/>
          <w:szCs w:val="24"/>
        </w:rPr>
        <w:t>.</w:t>
      </w:r>
    </w:p>
    <w:p w14:paraId="05A0FEDD" w14:textId="56991188" w:rsidR="00E76AE6" w:rsidRPr="0076575F" w:rsidRDefault="00A77280" w:rsidP="000040B4">
      <w:pPr>
        <w:pStyle w:val="Heading1"/>
        <w:spacing w:before="0" w:after="200"/>
        <w:rPr>
          <w:rFonts w:ascii="Times New Roman" w:hAnsi="Times New Roman" w:cs="Times New Roman"/>
          <w:color w:val="auto"/>
          <w:sz w:val="32"/>
          <w:szCs w:val="32"/>
        </w:rPr>
      </w:pPr>
      <w:bookmarkStart w:id="3" w:name="_Toc103684608"/>
      <w:r w:rsidRPr="0076575F">
        <w:rPr>
          <w:rFonts w:ascii="Times New Roman" w:hAnsi="Times New Roman" w:cs="Times New Roman"/>
          <w:color w:val="auto"/>
          <w:sz w:val="32"/>
          <w:szCs w:val="32"/>
        </w:rPr>
        <w:t>Invest</w:t>
      </w:r>
      <w:r w:rsidR="0059577A" w:rsidRPr="0076575F">
        <w:rPr>
          <w:rFonts w:ascii="Times New Roman" w:hAnsi="Times New Roman" w:cs="Times New Roman"/>
          <w:color w:val="auto"/>
          <w:sz w:val="32"/>
          <w:szCs w:val="32"/>
        </w:rPr>
        <w:t xml:space="preserve">ment </w:t>
      </w:r>
      <w:r w:rsidRPr="0076575F">
        <w:rPr>
          <w:rFonts w:ascii="Times New Roman" w:hAnsi="Times New Roman" w:cs="Times New Roman"/>
          <w:color w:val="auto"/>
          <w:sz w:val="32"/>
          <w:szCs w:val="32"/>
        </w:rPr>
        <w:t>Strateg</w:t>
      </w:r>
      <w:r w:rsidR="0002770D">
        <w:rPr>
          <w:rFonts w:ascii="Times New Roman" w:hAnsi="Times New Roman" w:cs="Times New Roman"/>
          <w:color w:val="auto"/>
          <w:sz w:val="32"/>
          <w:szCs w:val="32"/>
        </w:rPr>
        <w:t>y</w:t>
      </w:r>
      <w:bookmarkEnd w:id="3"/>
    </w:p>
    <w:p w14:paraId="0C5E06FB" w14:textId="3DF88C9B" w:rsidR="00E515A9" w:rsidRPr="009D62DE" w:rsidRDefault="0035157F" w:rsidP="000040B4">
      <w:pPr>
        <w:pStyle w:val="NoSpacing"/>
        <w:spacing w:after="200" w:line="276" w:lineRule="auto"/>
        <w:jc w:val="both"/>
        <w:rPr>
          <w:rFonts w:ascii="Times New Roman" w:hAnsi="Times New Roman" w:cs="Times New Roman"/>
          <w:sz w:val="24"/>
          <w:szCs w:val="24"/>
        </w:rPr>
      </w:pPr>
      <w:r w:rsidRPr="009D62DE">
        <w:rPr>
          <w:rFonts w:ascii="Times New Roman" w:hAnsi="Times New Roman" w:cs="Times New Roman"/>
          <w:sz w:val="24"/>
          <w:szCs w:val="24"/>
        </w:rPr>
        <w:t xml:space="preserve">Per </w:t>
      </w:r>
      <w:r w:rsidR="00F46BAA">
        <w:rPr>
          <w:rFonts w:ascii="Times New Roman" w:hAnsi="Times New Roman" w:cs="Times New Roman"/>
          <w:sz w:val="24"/>
          <w:szCs w:val="24"/>
        </w:rPr>
        <w:t xml:space="preserve">FHWA’s interpretation of </w:t>
      </w:r>
      <w:r w:rsidR="008E5FAA" w:rsidRPr="009D62DE">
        <w:rPr>
          <w:rFonts w:ascii="Times New Roman" w:hAnsi="Times New Roman" w:cs="Times New Roman"/>
          <w:sz w:val="24"/>
          <w:szCs w:val="24"/>
        </w:rPr>
        <w:t xml:space="preserve">23 </w:t>
      </w:r>
      <w:r w:rsidR="00445EAD" w:rsidRPr="009D62DE">
        <w:rPr>
          <w:rFonts w:ascii="Times New Roman" w:hAnsi="Times New Roman" w:cs="Times New Roman"/>
          <w:sz w:val="24"/>
          <w:szCs w:val="24"/>
        </w:rPr>
        <w:t>U.S.C.</w:t>
      </w:r>
      <w:r w:rsidR="008E5FAA" w:rsidRPr="009D62DE">
        <w:rPr>
          <w:rFonts w:ascii="Times New Roman" w:hAnsi="Times New Roman" w:cs="Times New Roman"/>
          <w:sz w:val="24"/>
          <w:szCs w:val="24"/>
        </w:rPr>
        <w:t xml:space="preserve"> 203</w:t>
      </w:r>
      <w:r w:rsidR="00A77280" w:rsidRPr="009D62DE">
        <w:rPr>
          <w:rFonts w:ascii="Times New Roman" w:hAnsi="Times New Roman" w:cs="Times New Roman"/>
          <w:sz w:val="24"/>
          <w:szCs w:val="24"/>
        </w:rPr>
        <w:t xml:space="preserve">, </w:t>
      </w:r>
      <w:r w:rsidRPr="009D62DE">
        <w:rPr>
          <w:rFonts w:ascii="Times New Roman" w:hAnsi="Times New Roman" w:cs="Times New Roman"/>
          <w:sz w:val="24"/>
          <w:szCs w:val="24"/>
        </w:rPr>
        <w:t>all eligible recipients</w:t>
      </w:r>
      <w:r w:rsidR="00A77280" w:rsidRPr="009D62DE">
        <w:rPr>
          <w:rFonts w:ascii="Times New Roman" w:hAnsi="Times New Roman" w:cs="Times New Roman"/>
          <w:sz w:val="24"/>
          <w:szCs w:val="24"/>
        </w:rPr>
        <w:t xml:space="preserve"> under the FLTP </w:t>
      </w:r>
      <w:r w:rsidRPr="009D62DE">
        <w:rPr>
          <w:rFonts w:ascii="Times New Roman" w:hAnsi="Times New Roman" w:cs="Times New Roman"/>
          <w:sz w:val="24"/>
          <w:szCs w:val="24"/>
        </w:rPr>
        <w:t xml:space="preserve">submit an </w:t>
      </w:r>
      <w:r w:rsidR="008E5FAA" w:rsidRPr="009D62DE">
        <w:rPr>
          <w:rFonts w:ascii="Times New Roman" w:hAnsi="Times New Roman" w:cs="Times New Roman"/>
          <w:sz w:val="24"/>
          <w:szCs w:val="24"/>
        </w:rPr>
        <w:t xml:space="preserve">application </w:t>
      </w:r>
      <w:r w:rsidR="009E17CD" w:rsidRPr="009D62DE">
        <w:rPr>
          <w:rFonts w:ascii="Times New Roman" w:hAnsi="Times New Roman" w:cs="Times New Roman"/>
          <w:sz w:val="24"/>
          <w:szCs w:val="24"/>
        </w:rPr>
        <w:t xml:space="preserve">describing </w:t>
      </w:r>
      <w:r w:rsidRPr="009D62DE">
        <w:rPr>
          <w:rFonts w:ascii="Times New Roman" w:hAnsi="Times New Roman" w:cs="Times New Roman"/>
          <w:sz w:val="24"/>
          <w:szCs w:val="24"/>
        </w:rPr>
        <w:t>how the use of FLTP funds will advanc</w:t>
      </w:r>
      <w:r w:rsidRPr="00D14B44">
        <w:rPr>
          <w:rFonts w:ascii="Times New Roman" w:hAnsi="Times New Roman" w:cs="Times New Roman"/>
          <w:sz w:val="24"/>
          <w:szCs w:val="24"/>
        </w:rPr>
        <w:t xml:space="preserve">e “performance </w:t>
      </w:r>
      <w:r w:rsidR="00A77280" w:rsidRPr="00D14B44">
        <w:rPr>
          <w:rFonts w:ascii="Times New Roman" w:hAnsi="Times New Roman" w:cs="Times New Roman"/>
          <w:sz w:val="24"/>
          <w:szCs w:val="24"/>
        </w:rPr>
        <w:t>management</w:t>
      </w:r>
      <w:r w:rsidRPr="00D14B44">
        <w:rPr>
          <w:rFonts w:ascii="Times New Roman" w:hAnsi="Times New Roman" w:cs="Times New Roman"/>
          <w:sz w:val="24"/>
          <w:szCs w:val="24"/>
        </w:rPr>
        <w:t>”</w:t>
      </w:r>
      <w:r w:rsidR="00F16853">
        <w:rPr>
          <w:rFonts w:ascii="Times New Roman" w:hAnsi="Times New Roman" w:cs="Times New Roman"/>
          <w:sz w:val="24"/>
          <w:szCs w:val="24"/>
        </w:rPr>
        <w:t>. Consideration must be given to</w:t>
      </w:r>
      <w:r w:rsidRPr="00D14B44">
        <w:rPr>
          <w:rFonts w:ascii="Times New Roman" w:hAnsi="Times New Roman" w:cs="Times New Roman"/>
          <w:sz w:val="24"/>
          <w:szCs w:val="24"/>
        </w:rPr>
        <w:t xml:space="preserve"> </w:t>
      </w:r>
      <w:r w:rsidR="00DC651D" w:rsidRPr="00D14B44">
        <w:rPr>
          <w:rFonts w:ascii="Times New Roman" w:hAnsi="Times New Roman" w:cs="Times New Roman"/>
          <w:sz w:val="24"/>
          <w:szCs w:val="24"/>
        </w:rPr>
        <w:t>all provisions within 23 U</w:t>
      </w:r>
      <w:r w:rsidR="005E7258">
        <w:rPr>
          <w:rFonts w:ascii="Times New Roman" w:hAnsi="Times New Roman" w:cs="Times New Roman"/>
          <w:sz w:val="24"/>
          <w:szCs w:val="24"/>
        </w:rPr>
        <w:t>.</w:t>
      </w:r>
      <w:r w:rsidR="00DC651D" w:rsidRPr="00D14B44">
        <w:rPr>
          <w:rFonts w:ascii="Times New Roman" w:hAnsi="Times New Roman" w:cs="Times New Roman"/>
          <w:sz w:val="24"/>
          <w:szCs w:val="24"/>
        </w:rPr>
        <w:t>S</w:t>
      </w:r>
      <w:r w:rsidR="005E7258">
        <w:rPr>
          <w:rFonts w:ascii="Times New Roman" w:hAnsi="Times New Roman" w:cs="Times New Roman"/>
          <w:sz w:val="24"/>
          <w:szCs w:val="24"/>
        </w:rPr>
        <w:t>.</w:t>
      </w:r>
      <w:r w:rsidR="00DC651D" w:rsidRPr="00D14B44">
        <w:rPr>
          <w:rFonts w:ascii="Times New Roman" w:hAnsi="Times New Roman" w:cs="Times New Roman"/>
          <w:sz w:val="24"/>
          <w:szCs w:val="24"/>
        </w:rPr>
        <w:t>C</w:t>
      </w:r>
      <w:r w:rsidR="005E7258">
        <w:rPr>
          <w:rFonts w:ascii="Times New Roman" w:hAnsi="Times New Roman" w:cs="Times New Roman"/>
          <w:sz w:val="24"/>
          <w:szCs w:val="24"/>
        </w:rPr>
        <w:t>.</w:t>
      </w:r>
      <w:r w:rsidR="00DC651D" w:rsidRPr="00D14B44">
        <w:rPr>
          <w:rFonts w:ascii="Times New Roman" w:hAnsi="Times New Roman" w:cs="Times New Roman"/>
          <w:sz w:val="24"/>
          <w:szCs w:val="24"/>
        </w:rPr>
        <w:t xml:space="preserve"> 203(b)(2)(B) and (C)</w:t>
      </w:r>
      <w:r w:rsidR="00D14B44">
        <w:rPr>
          <w:rFonts w:ascii="Times New Roman" w:hAnsi="Times New Roman" w:cs="Times New Roman"/>
          <w:sz w:val="24"/>
          <w:szCs w:val="24"/>
        </w:rPr>
        <w:t xml:space="preserve"> and </w:t>
      </w:r>
      <w:r w:rsidR="00D14B44" w:rsidRPr="00386860">
        <w:rPr>
          <w:rFonts w:ascii="Times New Roman" w:hAnsi="Times New Roman" w:cs="Times New Roman"/>
          <w:sz w:val="24"/>
          <w:szCs w:val="24"/>
        </w:rPr>
        <w:t>23 U</w:t>
      </w:r>
      <w:r w:rsidR="005E7258">
        <w:rPr>
          <w:rFonts w:ascii="Times New Roman" w:hAnsi="Times New Roman" w:cs="Times New Roman"/>
          <w:sz w:val="24"/>
          <w:szCs w:val="24"/>
        </w:rPr>
        <w:t>.</w:t>
      </w:r>
      <w:r w:rsidR="00D14B44" w:rsidRPr="00386860">
        <w:rPr>
          <w:rFonts w:ascii="Times New Roman" w:hAnsi="Times New Roman" w:cs="Times New Roman"/>
          <w:sz w:val="24"/>
          <w:szCs w:val="24"/>
        </w:rPr>
        <w:t>S</w:t>
      </w:r>
      <w:r w:rsidR="005E7258">
        <w:rPr>
          <w:rFonts w:ascii="Times New Roman" w:hAnsi="Times New Roman" w:cs="Times New Roman"/>
          <w:sz w:val="24"/>
          <w:szCs w:val="24"/>
        </w:rPr>
        <w:t>.</w:t>
      </w:r>
      <w:r w:rsidR="00D14B44" w:rsidRPr="00386860">
        <w:rPr>
          <w:rFonts w:ascii="Times New Roman" w:hAnsi="Times New Roman" w:cs="Times New Roman"/>
          <w:sz w:val="24"/>
          <w:szCs w:val="24"/>
        </w:rPr>
        <w:t>C</w:t>
      </w:r>
      <w:r w:rsidR="005E7258">
        <w:rPr>
          <w:rFonts w:ascii="Times New Roman" w:hAnsi="Times New Roman" w:cs="Times New Roman"/>
          <w:sz w:val="24"/>
          <w:szCs w:val="24"/>
        </w:rPr>
        <w:t>.</w:t>
      </w:r>
      <w:r w:rsidR="00D14B44" w:rsidRPr="00386860">
        <w:rPr>
          <w:rFonts w:ascii="Times New Roman" w:hAnsi="Times New Roman" w:cs="Times New Roman"/>
          <w:sz w:val="24"/>
          <w:szCs w:val="24"/>
        </w:rPr>
        <w:t xml:space="preserve"> 201(c)</w:t>
      </w:r>
      <w:r w:rsidR="00DC651D" w:rsidRPr="00D14B44">
        <w:rPr>
          <w:rFonts w:ascii="Times New Roman" w:hAnsi="Times New Roman" w:cs="Times New Roman"/>
          <w:sz w:val="24"/>
          <w:szCs w:val="24"/>
        </w:rPr>
        <w:t xml:space="preserve">.  </w:t>
      </w:r>
      <w:r w:rsidR="00DC651D" w:rsidRPr="009D62DE">
        <w:rPr>
          <w:rFonts w:ascii="Times New Roman" w:hAnsi="Times New Roman" w:cs="Times New Roman"/>
          <w:sz w:val="24"/>
          <w:szCs w:val="24"/>
        </w:rPr>
        <w:t xml:space="preserve">For these </w:t>
      </w:r>
      <w:r w:rsidR="00947C9F">
        <w:rPr>
          <w:rFonts w:ascii="Times New Roman" w:hAnsi="Times New Roman" w:cs="Times New Roman"/>
          <w:sz w:val="24"/>
          <w:szCs w:val="24"/>
        </w:rPr>
        <w:t>instructions</w:t>
      </w:r>
      <w:r w:rsidR="00DC651D" w:rsidRPr="009D62DE">
        <w:rPr>
          <w:rFonts w:ascii="Times New Roman" w:hAnsi="Times New Roman" w:cs="Times New Roman"/>
          <w:sz w:val="24"/>
          <w:szCs w:val="24"/>
        </w:rPr>
        <w:t xml:space="preserve">, </w:t>
      </w:r>
      <w:r w:rsidR="008D2989">
        <w:rPr>
          <w:rFonts w:ascii="Times New Roman" w:hAnsi="Times New Roman" w:cs="Times New Roman"/>
          <w:sz w:val="24"/>
          <w:szCs w:val="24"/>
        </w:rPr>
        <w:t xml:space="preserve">an </w:t>
      </w:r>
      <w:r w:rsidR="00DC651D" w:rsidRPr="009D62DE">
        <w:rPr>
          <w:rFonts w:ascii="Times New Roman" w:hAnsi="Times New Roman" w:cs="Times New Roman"/>
          <w:sz w:val="24"/>
          <w:szCs w:val="24"/>
        </w:rPr>
        <w:t>a</w:t>
      </w:r>
      <w:r w:rsidR="00023A14" w:rsidRPr="009D62DE">
        <w:rPr>
          <w:rFonts w:ascii="Times New Roman" w:hAnsi="Times New Roman" w:cs="Times New Roman"/>
          <w:sz w:val="24"/>
          <w:szCs w:val="24"/>
        </w:rPr>
        <w:t xml:space="preserve">pplication will be referred to as </w:t>
      </w:r>
      <w:r w:rsidR="008D2989">
        <w:rPr>
          <w:rFonts w:ascii="Times New Roman" w:hAnsi="Times New Roman" w:cs="Times New Roman"/>
          <w:sz w:val="24"/>
          <w:szCs w:val="24"/>
        </w:rPr>
        <w:t xml:space="preserve">an </w:t>
      </w:r>
      <w:r w:rsidR="008E5FAA" w:rsidRPr="009D62DE">
        <w:rPr>
          <w:rFonts w:ascii="Times New Roman" w:hAnsi="Times New Roman" w:cs="Times New Roman"/>
          <w:sz w:val="24"/>
          <w:szCs w:val="24"/>
        </w:rPr>
        <w:t>“investment strateg</w:t>
      </w:r>
      <w:r w:rsidR="008D2989">
        <w:rPr>
          <w:rFonts w:ascii="Times New Roman" w:hAnsi="Times New Roman" w:cs="Times New Roman"/>
          <w:sz w:val="24"/>
          <w:szCs w:val="24"/>
        </w:rPr>
        <w:t>y</w:t>
      </w:r>
      <w:r w:rsidR="008E5FAA" w:rsidRPr="009D62DE">
        <w:rPr>
          <w:rFonts w:ascii="Times New Roman" w:hAnsi="Times New Roman" w:cs="Times New Roman"/>
          <w:sz w:val="24"/>
          <w:szCs w:val="24"/>
        </w:rPr>
        <w:t xml:space="preserve">”. </w:t>
      </w:r>
      <w:r w:rsidR="00E76AE6" w:rsidRPr="009D62DE">
        <w:rPr>
          <w:rFonts w:ascii="Times New Roman" w:hAnsi="Times New Roman" w:cs="Times New Roman"/>
          <w:sz w:val="24"/>
          <w:szCs w:val="24"/>
        </w:rPr>
        <w:t xml:space="preserve"> </w:t>
      </w:r>
      <w:r w:rsidR="001F5BD9" w:rsidRPr="009D62DE">
        <w:rPr>
          <w:rFonts w:ascii="Times New Roman" w:hAnsi="Times New Roman" w:cs="Times New Roman"/>
          <w:sz w:val="24"/>
          <w:szCs w:val="24"/>
        </w:rPr>
        <w:t xml:space="preserve">A specific </w:t>
      </w:r>
      <w:r w:rsidR="00127045" w:rsidRPr="009D62DE">
        <w:rPr>
          <w:rFonts w:ascii="Times New Roman" w:hAnsi="Times New Roman" w:cs="Times New Roman"/>
          <w:sz w:val="24"/>
          <w:szCs w:val="24"/>
        </w:rPr>
        <w:t>investment strategy</w:t>
      </w:r>
      <w:r w:rsidR="001F5BD9" w:rsidRPr="009D62DE">
        <w:rPr>
          <w:rFonts w:ascii="Times New Roman" w:hAnsi="Times New Roman" w:cs="Times New Roman"/>
          <w:sz w:val="24"/>
          <w:szCs w:val="24"/>
        </w:rPr>
        <w:t xml:space="preserve"> format or structure is not </w:t>
      </w:r>
      <w:r w:rsidRPr="009D62DE">
        <w:rPr>
          <w:rFonts w:ascii="Times New Roman" w:hAnsi="Times New Roman" w:cs="Times New Roman"/>
          <w:sz w:val="24"/>
          <w:szCs w:val="24"/>
        </w:rPr>
        <w:t>provided in legislation</w:t>
      </w:r>
      <w:r w:rsidR="00F16853">
        <w:rPr>
          <w:rFonts w:ascii="Times New Roman" w:hAnsi="Times New Roman" w:cs="Times New Roman"/>
          <w:sz w:val="24"/>
          <w:szCs w:val="24"/>
        </w:rPr>
        <w:t>;</w:t>
      </w:r>
      <w:r w:rsidRPr="009D62DE">
        <w:rPr>
          <w:rFonts w:ascii="Times New Roman" w:hAnsi="Times New Roman" w:cs="Times New Roman"/>
          <w:sz w:val="24"/>
          <w:szCs w:val="24"/>
        </w:rPr>
        <w:t xml:space="preserve"> therefore</w:t>
      </w:r>
      <w:r w:rsidR="00F16853">
        <w:rPr>
          <w:rFonts w:ascii="Times New Roman" w:hAnsi="Times New Roman" w:cs="Times New Roman"/>
          <w:sz w:val="24"/>
          <w:szCs w:val="24"/>
        </w:rPr>
        <w:t>,</w:t>
      </w:r>
      <w:r w:rsidRPr="009D62DE">
        <w:rPr>
          <w:rFonts w:ascii="Times New Roman" w:hAnsi="Times New Roman" w:cs="Times New Roman"/>
          <w:sz w:val="24"/>
          <w:szCs w:val="24"/>
        </w:rPr>
        <w:t xml:space="preserve"> t</w:t>
      </w:r>
      <w:r w:rsidR="00F3441B" w:rsidRPr="009D62DE">
        <w:rPr>
          <w:rFonts w:ascii="Times New Roman" w:hAnsi="Times New Roman" w:cs="Times New Roman"/>
          <w:sz w:val="24"/>
          <w:szCs w:val="24"/>
        </w:rPr>
        <w:t>h</w:t>
      </w:r>
      <w:r w:rsidR="009E17CD" w:rsidRPr="009D62DE">
        <w:rPr>
          <w:rFonts w:ascii="Times New Roman" w:hAnsi="Times New Roman" w:cs="Times New Roman"/>
          <w:sz w:val="24"/>
          <w:szCs w:val="24"/>
        </w:rPr>
        <w:t xml:space="preserve">is </w:t>
      </w:r>
      <w:r w:rsidR="00947C9F">
        <w:rPr>
          <w:rFonts w:ascii="Times New Roman" w:hAnsi="Times New Roman" w:cs="Times New Roman"/>
          <w:sz w:val="24"/>
          <w:szCs w:val="24"/>
        </w:rPr>
        <w:t>document</w:t>
      </w:r>
      <w:r w:rsidR="009E17CD" w:rsidRPr="009D62DE">
        <w:rPr>
          <w:rFonts w:ascii="Times New Roman" w:hAnsi="Times New Roman" w:cs="Times New Roman"/>
          <w:sz w:val="24"/>
          <w:szCs w:val="24"/>
        </w:rPr>
        <w:t xml:space="preserve"> identifies the content and framework </w:t>
      </w:r>
      <w:r w:rsidR="004B7FB6" w:rsidRPr="009D62DE">
        <w:rPr>
          <w:rFonts w:ascii="Times New Roman" w:hAnsi="Times New Roman" w:cs="Times New Roman"/>
          <w:sz w:val="24"/>
          <w:szCs w:val="24"/>
        </w:rPr>
        <w:t xml:space="preserve">for </w:t>
      </w:r>
      <w:r w:rsidR="00DC651D" w:rsidRPr="009D62DE">
        <w:rPr>
          <w:rFonts w:ascii="Times New Roman" w:hAnsi="Times New Roman" w:cs="Times New Roman"/>
          <w:sz w:val="24"/>
          <w:szCs w:val="24"/>
        </w:rPr>
        <w:t xml:space="preserve">FLMAs’ use. A single, </w:t>
      </w:r>
      <w:r w:rsidRPr="009D62DE">
        <w:rPr>
          <w:rFonts w:ascii="Times New Roman" w:hAnsi="Times New Roman" w:cs="Times New Roman"/>
          <w:sz w:val="24"/>
          <w:szCs w:val="24"/>
        </w:rPr>
        <w:t>multi-year</w:t>
      </w:r>
      <w:r w:rsidR="007E0FDC" w:rsidRPr="009D62DE">
        <w:rPr>
          <w:rFonts w:ascii="Times New Roman" w:hAnsi="Times New Roman" w:cs="Times New Roman"/>
          <w:sz w:val="24"/>
          <w:szCs w:val="24"/>
        </w:rPr>
        <w:t xml:space="preserve"> </w:t>
      </w:r>
      <w:r w:rsidR="00C82196" w:rsidRPr="009D62DE">
        <w:rPr>
          <w:rFonts w:ascii="Times New Roman" w:hAnsi="Times New Roman" w:cs="Times New Roman"/>
          <w:sz w:val="24"/>
          <w:szCs w:val="24"/>
        </w:rPr>
        <w:t>invest</w:t>
      </w:r>
      <w:r w:rsidR="0020328F" w:rsidRPr="009D62DE">
        <w:rPr>
          <w:rFonts w:ascii="Times New Roman" w:hAnsi="Times New Roman" w:cs="Times New Roman"/>
          <w:sz w:val="24"/>
          <w:szCs w:val="24"/>
        </w:rPr>
        <w:t>ment strateg</w:t>
      </w:r>
      <w:r w:rsidR="00DC651D" w:rsidRPr="009D62DE">
        <w:rPr>
          <w:rFonts w:ascii="Times New Roman" w:hAnsi="Times New Roman" w:cs="Times New Roman"/>
          <w:sz w:val="24"/>
          <w:szCs w:val="24"/>
        </w:rPr>
        <w:t xml:space="preserve">y for </w:t>
      </w:r>
      <w:r w:rsidR="00F16853">
        <w:rPr>
          <w:rFonts w:ascii="Times New Roman" w:hAnsi="Times New Roman" w:cs="Times New Roman"/>
          <w:sz w:val="24"/>
          <w:szCs w:val="24"/>
        </w:rPr>
        <w:t>fiscal years (</w:t>
      </w:r>
      <w:r w:rsidR="00DC651D" w:rsidRPr="009D62DE">
        <w:rPr>
          <w:rFonts w:ascii="Times New Roman" w:hAnsi="Times New Roman" w:cs="Times New Roman"/>
          <w:sz w:val="24"/>
          <w:szCs w:val="24"/>
        </w:rPr>
        <w:t>FY</w:t>
      </w:r>
      <w:r w:rsidR="00F16853">
        <w:rPr>
          <w:rFonts w:ascii="Times New Roman" w:hAnsi="Times New Roman" w:cs="Times New Roman"/>
          <w:sz w:val="24"/>
          <w:szCs w:val="24"/>
        </w:rPr>
        <w:t>) 20</w:t>
      </w:r>
      <w:r w:rsidR="00DC651D" w:rsidRPr="009D62DE">
        <w:rPr>
          <w:rFonts w:ascii="Times New Roman" w:hAnsi="Times New Roman" w:cs="Times New Roman"/>
          <w:sz w:val="24"/>
          <w:szCs w:val="24"/>
        </w:rPr>
        <w:t xml:space="preserve">22 – </w:t>
      </w:r>
      <w:r w:rsidR="00F16853">
        <w:rPr>
          <w:rFonts w:ascii="Times New Roman" w:hAnsi="Times New Roman" w:cs="Times New Roman"/>
          <w:sz w:val="24"/>
          <w:szCs w:val="24"/>
        </w:rPr>
        <w:t>20</w:t>
      </w:r>
      <w:r w:rsidR="00DC651D" w:rsidRPr="009D62DE">
        <w:rPr>
          <w:rFonts w:ascii="Times New Roman" w:hAnsi="Times New Roman" w:cs="Times New Roman"/>
          <w:sz w:val="24"/>
          <w:szCs w:val="24"/>
        </w:rPr>
        <w:t xml:space="preserve">26 is requested from each FLMA.  </w:t>
      </w:r>
      <w:r w:rsidR="008B305E">
        <w:rPr>
          <w:rFonts w:ascii="Times New Roman" w:hAnsi="Times New Roman" w:cs="Times New Roman"/>
          <w:sz w:val="24"/>
          <w:szCs w:val="24"/>
        </w:rPr>
        <w:t>T</w:t>
      </w:r>
      <w:r w:rsidR="004D456A">
        <w:rPr>
          <w:rFonts w:ascii="Times New Roman" w:hAnsi="Times New Roman" w:cs="Times New Roman"/>
          <w:sz w:val="24"/>
          <w:szCs w:val="24"/>
        </w:rPr>
        <w:t>he FLMA can update their investment strategy should</w:t>
      </w:r>
      <w:r w:rsidR="004D456A" w:rsidRPr="004D456A">
        <w:rPr>
          <w:rFonts w:ascii="Times New Roman" w:hAnsi="Times New Roman" w:cs="Times New Roman"/>
          <w:sz w:val="24"/>
          <w:szCs w:val="24"/>
        </w:rPr>
        <w:t xml:space="preserve"> conditions</w:t>
      </w:r>
      <w:r w:rsidR="003D0FCA">
        <w:rPr>
          <w:rFonts w:ascii="Times New Roman" w:hAnsi="Times New Roman" w:cs="Times New Roman"/>
          <w:sz w:val="24"/>
          <w:szCs w:val="24"/>
        </w:rPr>
        <w:t xml:space="preserve"> or priorities</w:t>
      </w:r>
      <w:r w:rsidR="004D456A" w:rsidRPr="004D456A">
        <w:rPr>
          <w:rFonts w:ascii="Times New Roman" w:hAnsi="Times New Roman" w:cs="Times New Roman"/>
          <w:sz w:val="24"/>
          <w:szCs w:val="24"/>
        </w:rPr>
        <w:t xml:space="preserve"> change over time</w:t>
      </w:r>
      <w:r w:rsidR="004D456A">
        <w:rPr>
          <w:rFonts w:ascii="Times New Roman" w:hAnsi="Times New Roman" w:cs="Times New Roman"/>
          <w:sz w:val="24"/>
          <w:szCs w:val="24"/>
        </w:rPr>
        <w:t xml:space="preserve">. </w:t>
      </w:r>
      <w:r w:rsidR="00DC651D" w:rsidRPr="009D62DE">
        <w:rPr>
          <w:rFonts w:ascii="Times New Roman" w:hAnsi="Times New Roman" w:cs="Times New Roman"/>
          <w:sz w:val="24"/>
          <w:szCs w:val="24"/>
        </w:rPr>
        <w:t xml:space="preserve">The content should be </w:t>
      </w:r>
      <w:r w:rsidR="0020328F" w:rsidRPr="009D62DE">
        <w:rPr>
          <w:rFonts w:ascii="Times New Roman" w:hAnsi="Times New Roman" w:cs="Times New Roman"/>
          <w:sz w:val="24"/>
          <w:szCs w:val="24"/>
        </w:rPr>
        <w:t>forward-l</w:t>
      </w:r>
      <w:r w:rsidR="00D14B44">
        <w:rPr>
          <w:rFonts w:ascii="Times New Roman" w:hAnsi="Times New Roman" w:cs="Times New Roman"/>
          <w:sz w:val="24"/>
          <w:szCs w:val="24"/>
        </w:rPr>
        <w:t>eaning</w:t>
      </w:r>
      <w:r w:rsidR="0020328F" w:rsidRPr="009D62DE">
        <w:rPr>
          <w:rFonts w:ascii="Times New Roman" w:hAnsi="Times New Roman" w:cs="Times New Roman"/>
          <w:sz w:val="24"/>
          <w:szCs w:val="24"/>
        </w:rPr>
        <w:t xml:space="preserve"> and </w:t>
      </w:r>
      <w:r w:rsidR="008D2989">
        <w:rPr>
          <w:rFonts w:ascii="Times New Roman" w:hAnsi="Times New Roman" w:cs="Times New Roman"/>
          <w:sz w:val="24"/>
          <w:szCs w:val="24"/>
        </w:rPr>
        <w:t xml:space="preserve">be </w:t>
      </w:r>
      <w:r w:rsidR="0020328F" w:rsidRPr="009D62DE">
        <w:rPr>
          <w:rFonts w:ascii="Times New Roman" w:hAnsi="Times New Roman" w:cs="Times New Roman"/>
          <w:sz w:val="24"/>
          <w:szCs w:val="24"/>
        </w:rPr>
        <w:t xml:space="preserve">complemented by </w:t>
      </w:r>
      <w:r w:rsidR="00A87895">
        <w:rPr>
          <w:rFonts w:ascii="Times New Roman" w:hAnsi="Times New Roman" w:cs="Times New Roman"/>
          <w:sz w:val="24"/>
          <w:szCs w:val="24"/>
        </w:rPr>
        <w:t>the FLMA</w:t>
      </w:r>
      <w:r w:rsidR="00A87895" w:rsidRPr="009D62DE">
        <w:rPr>
          <w:rFonts w:ascii="Times New Roman" w:hAnsi="Times New Roman" w:cs="Times New Roman"/>
          <w:sz w:val="24"/>
          <w:szCs w:val="24"/>
        </w:rPr>
        <w:t xml:space="preserve">s’ </w:t>
      </w:r>
      <w:r w:rsidR="008D2989">
        <w:rPr>
          <w:rFonts w:ascii="Times New Roman" w:hAnsi="Times New Roman" w:cs="Times New Roman"/>
          <w:sz w:val="24"/>
          <w:szCs w:val="24"/>
        </w:rPr>
        <w:t>A</w:t>
      </w:r>
      <w:r w:rsidRPr="009D62DE">
        <w:rPr>
          <w:rFonts w:ascii="Times New Roman" w:hAnsi="Times New Roman" w:cs="Times New Roman"/>
          <w:sz w:val="24"/>
          <w:szCs w:val="24"/>
        </w:rPr>
        <w:t xml:space="preserve">nnual </w:t>
      </w:r>
      <w:r w:rsidR="008D2989">
        <w:rPr>
          <w:rFonts w:ascii="Times New Roman" w:hAnsi="Times New Roman" w:cs="Times New Roman"/>
          <w:sz w:val="24"/>
          <w:szCs w:val="24"/>
        </w:rPr>
        <w:t>A</w:t>
      </w:r>
      <w:r w:rsidR="0020328F" w:rsidRPr="009D62DE">
        <w:rPr>
          <w:rFonts w:ascii="Times New Roman" w:hAnsi="Times New Roman" w:cs="Times New Roman"/>
          <w:sz w:val="24"/>
          <w:szCs w:val="24"/>
        </w:rPr>
        <w:t xml:space="preserve">ccomplishment </w:t>
      </w:r>
      <w:r w:rsidR="008D2989">
        <w:rPr>
          <w:rFonts w:ascii="Times New Roman" w:hAnsi="Times New Roman" w:cs="Times New Roman"/>
          <w:sz w:val="24"/>
          <w:szCs w:val="24"/>
        </w:rPr>
        <w:t>R</w:t>
      </w:r>
      <w:r w:rsidR="0020328F" w:rsidRPr="009D62DE">
        <w:rPr>
          <w:rFonts w:ascii="Times New Roman" w:hAnsi="Times New Roman" w:cs="Times New Roman"/>
          <w:sz w:val="24"/>
          <w:szCs w:val="24"/>
        </w:rPr>
        <w:t>eport</w:t>
      </w:r>
      <w:r w:rsidRPr="009D62DE">
        <w:rPr>
          <w:rFonts w:ascii="Times New Roman" w:hAnsi="Times New Roman" w:cs="Times New Roman"/>
          <w:sz w:val="24"/>
          <w:szCs w:val="24"/>
        </w:rPr>
        <w:t xml:space="preserve">.  </w:t>
      </w:r>
    </w:p>
    <w:p w14:paraId="51E1F32D" w14:textId="6D117F9C" w:rsidR="00DC651D" w:rsidRPr="009D62DE" w:rsidRDefault="00DC651D" w:rsidP="000040B4">
      <w:pPr>
        <w:pStyle w:val="NoSpacing"/>
        <w:spacing w:after="200" w:line="276" w:lineRule="auto"/>
        <w:jc w:val="both"/>
        <w:rPr>
          <w:rFonts w:ascii="Times New Roman" w:hAnsi="Times New Roman" w:cs="Times New Roman"/>
          <w:sz w:val="24"/>
          <w:szCs w:val="24"/>
        </w:rPr>
      </w:pPr>
      <w:r w:rsidRPr="009D62DE">
        <w:rPr>
          <w:rFonts w:ascii="Times New Roman" w:hAnsi="Times New Roman" w:cs="Times New Roman"/>
          <w:sz w:val="24"/>
          <w:szCs w:val="24"/>
        </w:rPr>
        <w:t xml:space="preserve">The information below provides greater specificity on how </w:t>
      </w:r>
      <w:r w:rsidR="00A87895">
        <w:rPr>
          <w:rFonts w:ascii="Times New Roman" w:hAnsi="Times New Roman" w:cs="Times New Roman"/>
          <w:sz w:val="24"/>
          <w:szCs w:val="24"/>
        </w:rPr>
        <w:t>FLMA</w:t>
      </w:r>
      <w:r w:rsidR="00A87895" w:rsidRPr="009D62DE">
        <w:rPr>
          <w:rFonts w:ascii="Times New Roman" w:hAnsi="Times New Roman" w:cs="Times New Roman"/>
          <w:sz w:val="24"/>
          <w:szCs w:val="24"/>
        </w:rPr>
        <w:t xml:space="preserve">s </w:t>
      </w:r>
      <w:r w:rsidRPr="009D62DE">
        <w:rPr>
          <w:rFonts w:ascii="Times New Roman" w:hAnsi="Times New Roman" w:cs="Times New Roman"/>
          <w:sz w:val="24"/>
          <w:szCs w:val="24"/>
        </w:rPr>
        <w:t>should frame their strategy</w:t>
      </w:r>
      <w:r w:rsidRPr="008A21F5">
        <w:rPr>
          <w:rFonts w:ascii="Times New Roman" w:hAnsi="Times New Roman" w:cs="Times New Roman"/>
          <w:sz w:val="24"/>
          <w:szCs w:val="24"/>
        </w:rPr>
        <w:t xml:space="preserve"> </w:t>
      </w:r>
      <w:r w:rsidR="007D5AA2">
        <w:rPr>
          <w:rFonts w:ascii="Times New Roman" w:hAnsi="Times New Roman" w:cs="Times New Roman"/>
          <w:sz w:val="24"/>
          <w:szCs w:val="24"/>
        </w:rPr>
        <w:t>to</w:t>
      </w:r>
      <w:r w:rsidRPr="009D62DE">
        <w:rPr>
          <w:rFonts w:ascii="Times New Roman" w:hAnsi="Times New Roman" w:cs="Times New Roman"/>
          <w:sz w:val="24"/>
          <w:szCs w:val="24"/>
        </w:rPr>
        <w:t xml:space="preserve"> answer </w:t>
      </w:r>
      <w:r w:rsidR="002A2A9B">
        <w:rPr>
          <w:rFonts w:ascii="Times New Roman" w:hAnsi="Times New Roman" w:cs="Times New Roman"/>
          <w:sz w:val="24"/>
          <w:szCs w:val="24"/>
        </w:rPr>
        <w:t>the</w:t>
      </w:r>
      <w:r w:rsidR="002A2A9B" w:rsidRPr="009D62DE">
        <w:rPr>
          <w:rFonts w:ascii="Times New Roman" w:hAnsi="Times New Roman" w:cs="Times New Roman"/>
          <w:sz w:val="24"/>
          <w:szCs w:val="24"/>
        </w:rPr>
        <w:t xml:space="preserve"> </w:t>
      </w:r>
      <w:r w:rsidRPr="009D62DE">
        <w:rPr>
          <w:rFonts w:ascii="Times New Roman" w:hAnsi="Times New Roman" w:cs="Times New Roman"/>
          <w:sz w:val="24"/>
          <w:szCs w:val="24"/>
        </w:rPr>
        <w:t>fundamental</w:t>
      </w:r>
      <w:r w:rsidR="003D0B6B" w:rsidRPr="008A21F5">
        <w:rPr>
          <w:rFonts w:ascii="Times New Roman" w:hAnsi="Times New Roman" w:cs="Times New Roman"/>
          <w:sz w:val="24"/>
          <w:szCs w:val="24"/>
        </w:rPr>
        <w:t xml:space="preserve"> </w:t>
      </w:r>
      <w:r w:rsidRPr="009D62DE">
        <w:rPr>
          <w:rFonts w:ascii="Times New Roman" w:hAnsi="Times New Roman" w:cs="Times New Roman"/>
          <w:sz w:val="24"/>
          <w:szCs w:val="24"/>
        </w:rPr>
        <w:t xml:space="preserve">question, </w:t>
      </w:r>
      <w:r w:rsidRPr="008D1778">
        <w:rPr>
          <w:rFonts w:ascii="Times New Roman" w:hAnsi="Times New Roman" w:cs="Times New Roman"/>
          <w:sz w:val="24"/>
          <w:szCs w:val="24"/>
        </w:rPr>
        <w:t>“</w:t>
      </w:r>
      <w:r w:rsidR="002A2A9B" w:rsidRPr="008D1778">
        <w:rPr>
          <w:rFonts w:ascii="Times New Roman" w:hAnsi="Times New Roman" w:cs="Times New Roman"/>
          <w:sz w:val="24"/>
          <w:szCs w:val="24"/>
        </w:rPr>
        <w:t>H</w:t>
      </w:r>
      <w:r w:rsidRPr="008D1778">
        <w:rPr>
          <w:rFonts w:ascii="Times New Roman" w:hAnsi="Times New Roman" w:cs="Times New Roman"/>
          <w:sz w:val="24"/>
          <w:szCs w:val="24"/>
        </w:rPr>
        <w:t xml:space="preserve">ow does the FLMA intend to support a performance-based </w:t>
      </w:r>
      <w:r w:rsidR="009135BD" w:rsidRPr="008D1778">
        <w:rPr>
          <w:rFonts w:ascii="Times New Roman" w:hAnsi="Times New Roman" w:cs="Times New Roman"/>
          <w:sz w:val="24"/>
          <w:szCs w:val="24"/>
        </w:rPr>
        <w:t>transportation system</w:t>
      </w:r>
      <w:r w:rsidR="002A2A9B" w:rsidRPr="008D1778">
        <w:rPr>
          <w:rFonts w:ascii="Times New Roman" w:hAnsi="Times New Roman" w:cs="Times New Roman"/>
          <w:sz w:val="24"/>
          <w:szCs w:val="24"/>
        </w:rPr>
        <w:t xml:space="preserve"> with the 5-years of authorized funding in </w:t>
      </w:r>
      <w:r w:rsidR="009D0899" w:rsidRPr="008D1778">
        <w:rPr>
          <w:rFonts w:ascii="Times New Roman" w:hAnsi="Times New Roman" w:cs="Times New Roman"/>
          <w:sz w:val="24"/>
          <w:szCs w:val="24"/>
        </w:rPr>
        <w:t xml:space="preserve">the </w:t>
      </w:r>
      <w:r w:rsidR="007F484B" w:rsidRPr="008D1778">
        <w:rPr>
          <w:rFonts w:ascii="Times New Roman" w:hAnsi="Times New Roman" w:cs="Times New Roman"/>
          <w:sz w:val="24"/>
          <w:szCs w:val="24"/>
        </w:rPr>
        <w:t>IIJA</w:t>
      </w:r>
      <w:r w:rsidR="009135BD" w:rsidRPr="008D1778">
        <w:rPr>
          <w:rFonts w:ascii="Times New Roman" w:hAnsi="Times New Roman" w:cs="Times New Roman"/>
          <w:sz w:val="24"/>
          <w:szCs w:val="24"/>
        </w:rPr>
        <w:t>?</w:t>
      </w:r>
      <w:r w:rsidR="002A2A9B" w:rsidRPr="008D1778">
        <w:rPr>
          <w:rFonts w:ascii="Times New Roman" w:hAnsi="Times New Roman" w:cs="Times New Roman"/>
          <w:sz w:val="24"/>
          <w:szCs w:val="24"/>
        </w:rPr>
        <w:t>”</w:t>
      </w:r>
      <w:r w:rsidR="009135BD" w:rsidRPr="00D14B44">
        <w:rPr>
          <w:rFonts w:ascii="Times New Roman" w:hAnsi="Times New Roman" w:cs="Times New Roman"/>
          <w:sz w:val="24"/>
          <w:szCs w:val="24"/>
        </w:rPr>
        <w:t xml:space="preserve"> </w:t>
      </w:r>
    </w:p>
    <w:p w14:paraId="0E3E827C" w14:textId="0E08F6B1" w:rsidR="0020328F" w:rsidRPr="007D5AA2" w:rsidRDefault="00810056" w:rsidP="007D5AA2">
      <w:pPr>
        <w:pStyle w:val="Heading1"/>
        <w:spacing w:before="0" w:after="200"/>
        <w:rPr>
          <w:rFonts w:ascii="Times New Roman" w:hAnsi="Times New Roman" w:cs="Times New Roman"/>
          <w:color w:val="auto"/>
          <w:sz w:val="32"/>
          <w:szCs w:val="32"/>
        </w:rPr>
      </w:pPr>
      <w:bookmarkStart w:id="4" w:name="_Toc103684609"/>
      <w:r w:rsidRPr="007D5AA2">
        <w:rPr>
          <w:rFonts w:ascii="Times New Roman" w:hAnsi="Times New Roman" w:cs="Times New Roman"/>
          <w:color w:val="auto"/>
          <w:sz w:val="32"/>
          <w:szCs w:val="32"/>
        </w:rPr>
        <w:t>Investment Strategy Composition</w:t>
      </w:r>
      <w:bookmarkEnd w:id="4"/>
      <w:r w:rsidRPr="007D5AA2">
        <w:rPr>
          <w:rFonts w:ascii="Times New Roman" w:hAnsi="Times New Roman" w:cs="Times New Roman"/>
          <w:color w:val="auto"/>
          <w:sz w:val="32"/>
          <w:szCs w:val="32"/>
        </w:rPr>
        <w:t xml:space="preserve"> </w:t>
      </w:r>
    </w:p>
    <w:p w14:paraId="35829F13" w14:textId="6F521996" w:rsidR="003D0B6B" w:rsidRPr="00D14B44" w:rsidRDefault="007D5AA2" w:rsidP="007D5AA2">
      <w:pPr>
        <w:pStyle w:val="NoSpacing"/>
        <w:spacing w:after="200" w:line="276" w:lineRule="auto"/>
        <w:jc w:val="both"/>
        <w:rPr>
          <w:rFonts w:ascii="Times New Roman" w:hAnsi="Times New Roman" w:cs="Times New Roman"/>
          <w:sz w:val="24"/>
          <w:szCs w:val="24"/>
        </w:rPr>
      </w:pPr>
      <w:r>
        <w:rPr>
          <w:rFonts w:ascii="Times New Roman" w:hAnsi="Times New Roman" w:cs="Times New Roman"/>
          <w:sz w:val="24"/>
          <w:szCs w:val="24"/>
        </w:rPr>
        <w:t>D</w:t>
      </w:r>
      <w:r w:rsidR="009041E3" w:rsidRPr="008A21F5">
        <w:rPr>
          <w:rFonts w:ascii="Times New Roman" w:hAnsi="Times New Roman" w:cs="Times New Roman"/>
          <w:sz w:val="24"/>
          <w:szCs w:val="24"/>
        </w:rPr>
        <w:t xml:space="preserve">evelop </w:t>
      </w:r>
      <w:r w:rsidR="008D2989">
        <w:rPr>
          <w:rFonts w:ascii="Times New Roman" w:hAnsi="Times New Roman" w:cs="Times New Roman"/>
          <w:sz w:val="24"/>
          <w:szCs w:val="24"/>
        </w:rPr>
        <w:t xml:space="preserve">an </w:t>
      </w:r>
      <w:r w:rsidR="009041E3" w:rsidRPr="008A21F5">
        <w:rPr>
          <w:rFonts w:ascii="Times New Roman" w:hAnsi="Times New Roman" w:cs="Times New Roman"/>
          <w:sz w:val="24"/>
          <w:szCs w:val="24"/>
        </w:rPr>
        <w:t>investment strateg</w:t>
      </w:r>
      <w:r w:rsidR="008D2989">
        <w:rPr>
          <w:rFonts w:ascii="Times New Roman" w:hAnsi="Times New Roman" w:cs="Times New Roman"/>
          <w:sz w:val="24"/>
          <w:szCs w:val="24"/>
        </w:rPr>
        <w:t>y</w:t>
      </w:r>
      <w:r w:rsidR="009041E3" w:rsidRPr="008A21F5">
        <w:rPr>
          <w:rFonts w:ascii="Times New Roman" w:hAnsi="Times New Roman" w:cs="Times New Roman"/>
          <w:sz w:val="24"/>
          <w:szCs w:val="24"/>
        </w:rPr>
        <w:t xml:space="preserve"> using the </w:t>
      </w:r>
      <w:r w:rsidR="003D0B6B" w:rsidRPr="00D14B44">
        <w:rPr>
          <w:rFonts w:ascii="Times New Roman" w:hAnsi="Times New Roman" w:cs="Times New Roman"/>
          <w:sz w:val="24"/>
          <w:szCs w:val="24"/>
        </w:rPr>
        <w:t>provisions cited in 23 U</w:t>
      </w:r>
      <w:r w:rsidR="002A2A9B">
        <w:rPr>
          <w:rFonts w:ascii="Times New Roman" w:hAnsi="Times New Roman" w:cs="Times New Roman"/>
          <w:sz w:val="24"/>
          <w:szCs w:val="24"/>
        </w:rPr>
        <w:t>.</w:t>
      </w:r>
      <w:r w:rsidR="003D0B6B" w:rsidRPr="00D14B44">
        <w:rPr>
          <w:rFonts w:ascii="Times New Roman" w:hAnsi="Times New Roman" w:cs="Times New Roman"/>
          <w:sz w:val="24"/>
          <w:szCs w:val="24"/>
        </w:rPr>
        <w:t>S</w:t>
      </w:r>
      <w:r w:rsidR="002A2A9B">
        <w:rPr>
          <w:rFonts w:ascii="Times New Roman" w:hAnsi="Times New Roman" w:cs="Times New Roman"/>
          <w:sz w:val="24"/>
          <w:szCs w:val="24"/>
        </w:rPr>
        <w:t>.</w:t>
      </w:r>
      <w:r w:rsidR="003D0B6B" w:rsidRPr="00D14B44">
        <w:rPr>
          <w:rFonts w:ascii="Times New Roman" w:hAnsi="Times New Roman" w:cs="Times New Roman"/>
          <w:sz w:val="24"/>
          <w:szCs w:val="24"/>
        </w:rPr>
        <w:t>C</w:t>
      </w:r>
      <w:r w:rsidR="002A2A9B">
        <w:rPr>
          <w:rFonts w:ascii="Times New Roman" w:hAnsi="Times New Roman" w:cs="Times New Roman"/>
          <w:sz w:val="24"/>
          <w:szCs w:val="24"/>
        </w:rPr>
        <w:t>.</w:t>
      </w:r>
      <w:r w:rsidR="003D0B6B" w:rsidRPr="00D14B44">
        <w:rPr>
          <w:rFonts w:ascii="Times New Roman" w:hAnsi="Times New Roman" w:cs="Times New Roman"/>
          <w:sz w:val="24"/>
          <w:szCs w:val="24"/>
        </w:rPr>
        <w:t xml:space="preserve"> 203(b)(2)(B) and (C)</w:t>
      </w:r>
      <w:r w:rsidR="00810056" w:rsidRPr="00D14B44">
        <w:rPr>
          <w:rFonts w:ascii="Times New Roman" w:hAnsi="Times New Roman" w:cs="Times New Roman"/>
          <w:sz w:val="24"/>
          <w:szCs w:val="24"/>
        </w:rPr>
        <w:t xml:space="preserve"> and 23 U</w:t>
      </w:r>
      <w:r w:rsidR="002A2A9B">
        <w:rPr>
          <w:rFonts w:ascii="Times New Roman" w:hAnsi="Times New Roman" w:cs="Times New Roman"/>
          <w:sz w:val="24"/>
          <w:szCs w:val="24"/>
        </w:rPr>
        <w:t>.</w:t>
      </w:r>
      <w:r w:rsidR="00810056" w:rsidRPr="00D14B44">
        <w:rPr>
          <w:rFonts w:ascii="Times New Roman" w:hAnsi="Times New Roman" w:cs="Times New Roman"/>
          <w:sz w:val="24"/>
          <w:szCs w:val="24"/>
        </w:rPr>
        <w:t>S</w:t>
      </w:r>
      <w:r w:rsidR="002A2A9B">
        <w:rPr>
          <w:rFonts w:ascii="Times New Roman" w:hAnsi="Times New Roman" w:cs="Times New Roman"/>
          <w:sz w:val="24"/>
          <w:szCs w:val="24"/>
        </w:rPr>
        <w:t>.</w:t>
      </w:r>
      <w:r w:rsidR="00810056" w:rsidRPr="00D14B44">
        <w:rPr>
          <w:rFonts w:ascii="Times New Roman" w:hAnsi="Times New Roman" w:cs="Times New Roman"/>
          <w:sz w:val="24"/>
          <w:szCs w:val="24"/>
        </w:rPr>
        <w:t>C</w:t>
      </w:r>
      <w:r w:rsidR="002A2A9B">
        <w:rPr>
          <w:rFonts w:ascii="Times New Roman" w:hAnsi="Times New Roman" w:cs="Times New Roman"/>
          <w:sz w:val="24"/>
          <w:szCs w:val="24"/>
        </w:rPr>
        <w:t>.</w:t>
      </w:r>
      <w:r w:rsidR="00810056" w:rsidRPr="00D14B44">
        <w:rPr>
          <w:rFonts w:ascii="Times New Roman" w:hAnsi="Times New Roman" w:cs="Times New Roman"/>
          <w:sz w:val="24"/>
          <w:szCs w:val="24"/>
        </w:rPr>
        <w:t xml:space="preserve"> 201(c)</w:t>
      </w:r>
      <w:r w:rsidR="006E023C">
        <w:rPr>
          <w:rFonts w:ascii="Times New Roman" w:hAnsi="Times New Roman" w:cs="Times New Roman"/>
          <w:sz w:val="24"/>
          <w:szCs w:val="24"/>
        </w:rPr>
        <w:t xml:space="preserve"> (t</w:t>
      </w:r>
      <w:r w:rsidR="00E06BCC" w:rsidRPr="00E06BCC">
        <w:rPr>
          <w:rFonts w:ascii="Times New Roman" w:hAnsi="Times New Roman" w:cs="Times New Roman"/>
          <w:sz w:val="24"/>
          <w:szCs w:val="24"/>
        </w:rPr>
        <w:t xml:space="preserve">ransportation planning and asset management requirements).  </w:t>
      </w:r>
      <w:r w:rsidR="00E06BCC">
        <w:rPr>
          <w:rFonts w:ascii="Times New Roman" w:hAnsi="Times New Roman" w:cs="Times New Roman"/>
          <w:sz w:val="24"/>
          <w:szCs w:val="24"/>
        </w:rPr>
        <w:t xml:space="preserve">Additionally, under 23 U.S.C. </w:t>
      </w:r>
      <w:r w:rsidR="00E06BCC" w:rsidRPr="009D62DE">
        <w:rPr>
          <w:rFonts w:ascii="Times New Roman" w:hAnsi="Times New Roman" w:cs="Times New Roman"/>
          <w:sz w:val="24"/>
          <w:szCs w:val="24"/>
        </w:rPr>
        <w:t>203(b)(2)(C)</w:t>
      </w:r>
      <w:r w:rsidR="00E06BCC">
        <w:rPr>
          <w:rFonts w:ascii="Times New Roman" w:hAnsi="Times New Roman" w:cs="Times New Roman"/>
          <w:sz w:val="24"/>
          <w:szCs w:val="24"/>
        </w:rPr>
        <w:t xml:space="preserve"> – </w:t>
      </w:r>
      <w:r w:rsidR="001F2E55">
        <w:rPr>
          <w:rFonts w:ascii="Times New Roman" w:hAnsi="Times New Roman" w:cs="Times New Roman"/>
          <w:sz w:val="24"/>
          <w:szCs w:val="24"/>
        </w:rPr>
        <w:t>P</w:t>
      </w:r>
      <w:r w:rsidR="00E06BCC">
        <w:rPr>
          <w:rFonts w:ascii="Times New Roman" w:hAnsi="Times New Roman" w:cs="Times New Roman"/>
          <w:sz w:val="24"/>
          <w:szCs w:val="24"/>
        </w:rPr>
        <w:t xml:space="preserve">ermissive contents, </w:t>
      </w:r>
      <w:r w:rsidR="008D2989">
        <w:rPr>
          <w:rFonts w:ascii="Times New Roman" w:hAnsi="Times New Roman" w:cs="Times New Roman"/>
          <w:sz w:val="24"/>
          <w:szCs w:val="24"/>
        </w:rPr>
        <w:t xml:space="preserve">the </w:t>
      </w:r>
      <w:r w:rsidR="00E06BCC">
        <w:rPr>
          <w:rFonts w:ascii="Times New Roman" w:hAnsi="Times New Roman" w:cs="Times New Roman"/>
          <w:sz w:val="24"/>
          <w:szCs w:val="24"/>
        </w:rPr>
        <w:t>investment strateg</w:t>
      </w:r>
      <w:r w:rsidR="008D2989">
        <w:rPr>
          <w:rFonts w:ascii="Times New Roman" w:hAnsi="Times New Roman" w:cs="Times New Roman"/>
          <w:sz w:val="24"/>
          <w:szCs w:val="24"/>
        </w:rPr>
        <w:t>y</w:t>
      </w:r>
      <w:r w:rsidR="00E06BCC">
        <w:rPr>
          <w:rFonts w:ascii="Times New Roman" w:hAnsi="Times New Roman" w:cs="Times New Roman"/>
          <w:sz w:val="24"/>
          <w:szCs w:val="24"/>
        </w:rPr>
        <w:t xml:space="preserve"> may include </w:t>
      </w:r>
      <w:r w:rsidR="00E06BCC" w:rsidRPr="00E06BCC">
        <w:rPr>
          <w:rFonts w:ascii="Times New Roman" w:hAnsi="Times New Roman" w:cs="Times New Roman"/>
          <w:sz w:val="24"/>
          <w:szCs w:val="24"/>
        </w:rPr>
        <w:t>a multi</w:t>
      </w:r>
      <w:r w:rsidR="001F2E55">
        <w:rPr>
          <w:rFonts w:ascii="Times New Roman" w:hAnsi="Times New Roman" w:cs="Times New Roman"/>
          <w:sz w:val="24"/>
          <w:szCs w:val="24"/>
        </w:rPr>
        <w:t>ple</w:t>
      </w:r>
      <w:r w:rsidR="00E06BCC" w:rsidRPr="00E06BCC">
        <w:rPr>
          <w:rFonts w:ascii="Times New Roman" w:hAnsi="Times New Roman" w:cs="Times New Roman"/>
          <w:sz w:val="24"/>
          <w:szCs w:val="24"/>
        </w:rPr>
        <w:t>-year proposed program supported by long-term transportation planning</w:t>
      </w:r>
      <w:r w:rsidR="008B305E">
        <w:rPr>
          <w:rFonts w:ascii="Times New Roman" w:hAnsi="Times New Roman" w:cs="Times New Roman"/>
          <w:sz w:val="24"/>
          <w:szCs w:val="24"/>
        </w:rPr>
        <w:t xml:space="preserve"> and resource management initiatives</w:t>
      </w:r>
      <w:r w:rsidR="00E06BCC" w:rsidRPr="00E06BCC">
        <w:rPr>
          <w:rFonts w:ascii="Times New Roman" w:hAnsi="Times New Roman" w:cs="Times New Roman"/>
          <w:sz w:val="24"/>
          <w:szCs w:val="24"/>
        </w:rPr>
        <w:t>.</w:t>
      </w:r>
    </w:p>
    <w:p w14:paraId="13A23AE3" w14:textId="1A8A531E" w:rsidR="00563930" w:rsidRPr="009D62DE" w:rsidRDefault="00BF4787" w:rsidP="000040B4">
      <w:pPr>
        <w:pStyle w:val="NoSpacing"/>
        <w:spacing w:after="200" w:line="276" w:lineRule="auto"/>
        <w:jc w:val="both"/>
        <w:rPr>
          <w:rFonts w:ascii="Times New Roman" w:hAnsi="Times New Roman" w:cs="Times New Roman"/>
          <w:sz w:val="24"/>
          <w:szCs w:val="24"/>
        </w:rPr>
      </w:pPr>
      <w:r>
        <w:rPr>
          <w:rFonts w:ascii="Times New Roman" w:hAnsi="Times New Roman" w:cs="Times New Roman"/>
          <w:sz w:val="24"/>
          <w:szCs w:val="24"/>
        </w:rPr>
        <w:t>A</w:t>
      </w:r>
      <w:r w:rsidR="00563930" w:rsidRPr="009D62DE">
        <w:rPr>
          <w:rFonts w:ascii="Times New Roman" w:hAnsi="Times New Roman" w:cs="Times New Roman"/>
          <w:sz w:val="24"/>
          <w:szCs w:val="24"/>
        </w:rPr>
        <w:t xml:space="preserve">ddress the following </w:t>
      </w:r>
      <w:r w:rsidR="00810056" w:rsidRPr="009D62DE">
        <w:rPr>
          <w:rFonts w:ascii="Times New Roman" w:hAnsi="Times New Roman" w:cs="Times New Roman"/>
          <w:sz w:val="24"/>
          <w:szCs w:val="24"/>
        </w:rPr>
        <w:t xml:space="preserve">investment strategy </w:t>
      </w:r>
      <w:r w:rsidR="00563930" w:rsidRPr="009D62DE">
        <w:rPr>
          <w:rFonts w:ascii="Times New Roman" w:hAnsi="Times New Roman" w:cs="Times New Roman"/>
          <w:sz w:val="24"/>
          <w:szCs w:val="24"/>
        </w:rPr>
        <w:t>considerations applicable to th</w:t>
      </w:r>
      <w:r w:rsidR="00610A08" w:rsidRPr="009D62DE">
        <w:rPr>
          <w:rFonts w:ascii="Times New Roman" w:hAnsi="Times New Roman" w:cs="Times New Roman"/>
          <w:sz w:val="24"/>
          <w:szCs w:val="24"/>
        </w:rPr>
        <w:t xml:space="preserve">ese </w:t>
      </w:r>
      <w:r w:rsidR="00563930" w:rsidRPr="009D62DE">
        <w:rPr>
          <w:rFonts w:ascii="Times New Roman" w:hAnsi="Times New Roman" w:cs="Times New Roman"/>
          <w:sz w:val="24"/>
          <w:szCs w:val="24"/>
        </w:rPr>
        <w:t>specific citation</w:t>
      </w:r>
      <w:r w:rsidR="00610A08" w:rsidRPr="009D62DE">
        <w:rPr>
          <w:rFonts w:ascii="Times New Roman" w:hAnsi="Times New Roman" w:cs="Times New Roman"/>
          <w:sz w:val="24"/>
          <w:szCs w:val="24"/>
        </w:rPr>
        <w:t>s</w:t>
      </w:r>
      <w:r w:rsidR="00563930" w:rsidRPr="009D62DE">
        <w:rPr>
          <w:rFonts w:ascii="Times New Roman" w:hAnsi="Times New Roman" w:cs="Times New Roman"/>
          <w:sz w:val="24"/>
          <w:szCs w:val="24"/>
        </w:rPr>
        <w:t xml:space="preserve"> in law.</w:t>
      </w:r>
    </w:p>
    <w:p w14:paraId="680E9312" w14:textId="05E63FD6" w:rsidR="009D4ED8" w:rsidRPr="00937C5B" w:rsidRDefault="009D4ED8" w:rsidP="005D3FDA">
      <w:pPr>
        <w:pStyle w:val="NoSpacing"/>
        <w:spacing w:after="200" w:line="276" w:lineRule="auto"/>
        <w:jc w:val="both"/>
        <w:rPr>
          <w:rFonts w:ascii="Times New Roman" w:hAnsi="Times New Roman" w:cs="Times New Roman"/>
          <w:b/>
          <w:bCs/>
          <w:sz w:val="28"/>
          <w:szCs w:val="28"/>
        </w:rPr>
      </w:pPr>
      <w:r w:rsidRPr="00937C5B">
        <w:rPr>
          <w:rFonts w:ascii="Times New Roman" w:hAnsi="Times New Roman" w:cs="Times New Roman"/>
          <w:b/>
          <w:bCs/>
          <w:sz w:val="28"/>
          <w:szCs w:val="28"/>
        </w:rPr>
        <w:t>Definitions and Descriptions</w:t>
      </w:r>
    </w:p>
    <w:p w14:paraId="77CFC8B7" w14:textId="77777777" w:rsidR="00E16EC8" w:rsidRPr="00937C5B" w:rsidRDefault="00E16EC8" w:rsidP="00937C5B">
      <w:pPr>
        <w:pStyle w:val="NoSpacing"/>
        <w:numPr>
          <w:ilvl w:val="0"/>
          <w:numId w:val="4"/>
        </w:numPr>
        <w:spacing w:after="200" w:line="276" w:lineRule="auto"/>
        <w:jc w:val="both"/>
        <w:rPr>
          <w:rFonts w:ascii="Times New Roman" w:hAnsi="Times New Roman" w:cs="Times New Roman"/>
          <w:sz w:val="24"/>
          <w:szCs w:val="24"/>
        </w:rPr>
      </w:pPr>
      <w:r w:rsidRPr="00937C5B">
        <w:rPr>
          <w:rFonts w:ascii="Times New Roman" w:hAnsi="Times New Roman" w:cs="Times New Roman"/>
          <w:sz w:val="24"/>
          <w:szCs w:val="24"/>
        </w:rPr>
        <w:t xml:space="preserve">Transportation Performance Management (TPM) is a strategic data-driven approach that uses system information to make investment and policy decisions to achieve performance goals. </w:t>
      </w:r>
    </w:p>
    <w:p w14:paraId="3C118328" w14:textId="0902023F" w:rsidR="0019495B" w:rsidRPr="00937C5B" w:rsidRDefault="0019495B" w:rsidP="00937C5B">
      <w:pPr>
        <w:pStyle w:val="NoSpacing"/>
        <w:numPr>
          <w:ilvl w:val="0"/>
          <w:numId w:val="4"/>
        </w:numPr>
        <w:spacing w:after="200" w:line="276" w:lineRule="auto"/>
        <w:jc w:val="both"/>
        <w:rPr>
          <w:rFonts w:ascii="Times New Roman" w:hAnsi="Times New Roman" w:cs="Times New Roman"/>
          <w:sz w:val="24"/>
          <w:szCs w:val="24"/>
        </w:rPr>
      </w:pPr>
      <w:r w:rsidRPr="00937C5B">
        <w:rPr>
          <w:rFonts w:ascii="Times New Roman" w:hAnsi="Times New Roman" w:cs="Times New Roman"/>
          <w:sz w:val="24"/>
          <w:szCs w:val="24"/>
        </w:rPr>
        <w:t xml:space="preserve">Asset management is the application </w:t>
      </w:r>
      <w:r w:rsidR="00E16EC8" w:rsidRPr="00937C5B">
        <w:rPr>
          <w:rFonts w:ascii="Times New Roman" w:hAnsi="Times New Roman" w:cs="Times New Roman"/>
          <w:sz w:val="24"/>
          <w:szCs w:val="24"/>
        </w:rPr>
        <w:t xml:space="preserve">of a </w:t>
      </w:r>
      <w:r w:rsidR="00937C5B">
        <w:rPr>
          <w:rFonts w:ascii="Times New Roman" w:hAnsi="Times New Roman" w:cs="Times New Roman"/>
          <w:sz w:val="24"/>
          <w:szCs w:val="24"/>
        </w:rPr>
        <w:t>TPM</w:t>
      </w:r>
      <w:r w:rsidRPr="00937C5B">
        <w:rPr>
          <w:rFonts w:ascii="Times New Roman" w:hAnsi="Times New Roman" w:cs="Times New Roman"/>
          <w:sz w:val="24"/>
          <w:szCs w:val="24"/>
        </w:rPr>
        <w:t xml:space="preserve"> approach to manage the condition of the infrastructure assets that are needed to provide for mobility and safety on the nation's transportation system.</w:t>
      </w:r>
    </w:p>
    <w:p w14:paraId="57CCBED4" w14:textId="67BBCDB8" w:rsidR="006722A0" w:rsidRPr="00937C5B" w:rsidRDefault="006722A0" w:rsidP="00DD784F">
      <w:pPr>
        <w:pStyle w:val="NoSpacing"/>
        <w:numPr>
          <w:ilvl w:val="1"/>
          <w:numId w:val="4"/>
        </w:numPr>
        <w:spacing w:after="200" w:line="276" w:lineRule="auto"/>
        <w:ind w:left="720"/>
        <w:jc w:val="both"/>
        <w:rPr>
          <w:rFonts w:ascii="Times New Roman" w:hAnsi="Times New Roman" w:cs="Times New Roman"/>
          <w:sz w:val="24"/>
          <w:szCs w:val="24"/>
        </w:rPr>
      </w:pPr>
      <w:r w:rsidRPr="00937C5B">
        <w:rPr>
          <w:rFonts w:ascii="Times New Roman" w:hAnsi="Times New Roman" w:cs="Times New Roman"/>
          <w:sz w:val="24"/>
          <w:szCs w:val="24"/>
        </w:rPr>
        <w:t xml:space="preserve">As defined in 23 U.S.C. 101(a)(2), asset management is a strategic and systematic process of operating, maintaining, and improving physical assets, with a focus on both engineering and economic analysis based upon quality information, to identify a structured sequence of maintenance, preservation, repair, rehabilitation, and replacement actions that will </w:t>
      </w:r>
      <w:r w:rsidRPr="00937C5B">
        <w:rPr>
          <w:rFonts w:ascii="Times New Roman" w:hAnsi="Times New Roman" w:cs="Times New Roman"/>
          <w:sz w:val="24"/>
          <w:szCs w:val="24"/>
        </w:rPr>
        <w:lastRenderedPageBreak/>
        <w:t>achieve and sustain a desired state of good repair over the lifecycle of the assets at minimum practicable cost.</w:t>
      </w:r>
    </w:p>
    <w:p w14:paraId="7A98A34A" w14:textId="369C8446" w:rsidR="005D3FDA" w:rsidRDefault="009D4ED8" w:rsidP="00A929C8">
      <w:pPr>
        <w:pStyle w:val="NoSpacing"/>
        <w:numPr>
          <w:ilvl w:val="0"/>
          <w:numId w:val="4"/>
        </w:numPr>
        <w:spacing w:after="200" w:line="276" w:lineRule="auto"/>
        <w:jc w:val="both"/>
        <w:rPr>
          <w:rFonts w:ascii="Times New Roman" w:hAnsi="Times New Roman" w:cs="Times New Roman"/>
          <w:sz w:val="24"/>
          <w:szCs w:val="24"/>
        </w:rPr>
      </w:pPr>
      <w:bookmarkStart w:id="5" w:name="_Hlk82622078"/>
      <w:r>
        <w:rPr>
          <w:rFonts w:ascii="Times New Roman" w:hAnsi="Times New Roman" w:cs="Times New Roman"/>
          <w:sz w:val="24"/>
          <w:szCs w:val="24"/>
        </w:rPr>
        <w:t>Target(s)</w:t>
      </w:r>
      <w:r w:rsidR="006722A0">
        <w:rPr>
          <w:rFonts w:ascii="Times New Roman" w:hAnsi="Times New Roman" w:cs="Times New Roman"/>
          <w:sz w:val="24"/>
          <w:szCs w:val="24"/>
        </w:rPr>
        <w:t>:</w:t>
      </w:r>
    </w:p>
    <w:p w14:paraId="28B4D10F" w14:textId="77777777" w:rsidR="005D3FDA" w:rsidRDefault="00696960" w:rsidP="00A929C8">
      <w:pPr>
        <w:pStyle w:val="NoSpacing"/>
        <w:numPr>
          <w:ilvl w:val="1"/>
          <w:numId w:val="4"/>
        </w:numPr>
        <w:spacing w:after="200" w:line="276" w:lineRule="auto"/>
        <w:ind w:left="720"/>
        <w:jc w:val="both"/>
        <w:rPr>
          <w:rFonts w:ascii="Times New Roman" w:hAnsi="Times New Roman" w:cs="Times New Roman"/>
          <w:sz w:val="24"/>
          <w:szCs w:val="24"/>
        </w:rPr>
      </w:pPr>
      <w:r w:rsidRPr="005D3FDA">
        <w:rPr>
          <w:rFonts w:ascii="Times New Roman" w:hAnsi="Times New Roman" w:cs="Times New Roman"/>
          <w:sz w:val="24"/>
          <w:szCs w:val="24"/>
        </w:rPr>
        <w:t xml:space="preserve">A target is defined as a quantifiable level of performance or condition. </w:t>
      </w:r>
    </w:p>
    <w:p w14:paraId="767FB0E5" w14:textId="77777777" w:rsidR="005D3FDA" w:rsidRDefault="00696960" w:rsidP="00A929C8">
      <w:pPr>
        <w:pStyle w:val="NoSpacing"/>
        <w:numPr>
          <w:ilvl w:val="2"/>
          <w:numId w:val="4"/>
        </w:numPr>
        <w:spacing w:after="200" w:line="276" w:lineRule="auto"/>
        <w:ind w:left="1080" w:hanging="360"/>
        <w:jc w:val="both"/>
        <w:rPr>
          <w:rFonts w:ascii="Times New Roman" w:hAnsi="Times New Roman" w:cs="Times New Roman"/>
          <w:sz w:val="24"/>
          <w:szCs w:val="24"/>
        </w:rPr>
      </w:pPr>
      <w:r w:rsidRPr="005D3FDA">
        <w:rPr>
          <w:rFonts w:ascii="Times New Roman" w:hAnsi="Times New Roman" w:cs="Times New Roman"/>
          <w:sz w:val="24"/>
          <w:szCs w:val="24"/>
        </w:rPr>
        <w:t xml:space="preserve">FLMAs may establish constant or declining targets. Additionally, targets should be reasonable and be based on analysis of trends and projections of future efforts. </w:t>
      </w:r>
    </w:p>
    <w:p w14:paraId="28A5BBFF" w14:textId="7574ADF5" w:rsidR="005D3FDA" w:rsidRDefault="00121C41" w:rsidP="00A929C8">
      <w:pPr>
        <w:pStyle w:val="NoSpacing"/>
        <w:numPr>
          <w:ilvl w:val="2"/>
          <w:numId w:val="4"/>
        </w:numPr>
        <w:spacing w:after="200" w:line="276" w:lineRule="auto"/>
        <w:ind w:left="1080" w:hanging="360"/>
        <w:jc w:val="both"/>
        <w:rPr>
          <w:rFonts w:ascii="Times New Roman" w:hAnsi="Times New Roman" w:cs="Times New Roman"/>
          <w:sz w:val="24"/>
          <w:szCs w:val="24"/>
        </w:rPr>
      </w:pPr>
      <w:r w:rsidRPr="005D3FDA">
        <w:rPr>
          <w:rFonts w:ascii="Times New Roman" w:hAnsi="Times New Roman" w:cs="Times New Roman"/>
          <w:sz w:val="24"/>
          <w:szCs w:val="24"/>
        </w:rPr>
        <w:t>Unlike aspiration</w:t>
      </w:r>
      <w:r w:rsidR="005F61A5" w:rsidRPr="005D3FDA">
        <w:rPr>
          <w:rFonts w:ascii="Times New Roman" w:hAnsi="Times New Roman" w:cs="Times New Roman"/>
          <w:sz w:val="24"/>
          <w:szCs w:val="24"/>
        </w:rPr>
        <w:t>al</w:t>
      </w:r>
      <w:r w:rsidRPr="005D3FDA">
        <w:rPr>
          <w:rFonts w:ascii="Times New Roman" w:hAnsi="Times New Roman" w:cs="Times New Roman"/>
          <w:sz w:val="24"/>
          <w:szCs w:val="24"/>
        </w:rPr>
        <w:t xml:space="preserve"> goals, e.g., zero deaths from crashes, </w:t>
      </w:r>
      <w:r w:rsidR="00696960" w:rsidRPr="005D3FDA">
        <w:rPr>
          <w:rFonts w:ascii="Times New Roman" w:hAnsi="Times New Roman" w:cs="Times New Roman"/>
          <w:sz w:val="24"/>
          <w:szCs w:val="24"/>
        </w:rPr>
        <w:t xml:space="preserve">FHWA discourages the use of aspirational targets. Setting aspirational targets that are not data-driven, realistic, or achievable does not align with the performance management framework or </w:t>
      </w:r>
      <w:r w:rsidR="00227945">
        <w:rPr>
          <w:rFonts w:ascii="Times New Roman" w:hAnsi="Times New Roman" w:cs="Times New Roman"/>
          <w:sz w:val="24"/>
          <w:szCs w:val="24"/>
        </w:rPr>
        <w:t>statute under 23 U.S.C. 203</w:t>
      </w:r>
      <w:r w:rsidR="00696960" w:rsidRPr="005D3FDA">
        <w:rPr>
          <w:rFonts w:ascii="Times New Roman" w:hAnsi="Times New Roman" w:cs="Times New Roman"/>
          <w:sz w:val="24"/>
          <w:szCs w:val="24"/>
        </w:rPr>
        <w:t xml:space="preserve"> to improve project decision-making through performance-based planning and programming. Setting data-driven targets will enable decision makers to utilize resources in ways that will result in increased accountability and transparency.</w:t>
      </w:r>
    </w:p>
    <w:p w14:paraId="5C0C4B61" w14:textId="28A605E8" w:rsidR="00696960" w:rsidRPr="005D3FDA" w:rsidRDefault="00F47CA8" w:rsidP="00A929C8">
      <w:pPr>
        <w:pStyle w:val="NoSpacing"/>
        <w:numPr>
          <w:ilvl w:val="2"/>
          <w:numId w:val="4"/>
        </w:numPr>
        <w:spacing w:after="200" w:line="276" w:lineRule="auto"/>
        <w:ind w:left="1080" w:hanging="360"/>
        <w:jc w:val="both"/>
        <w:rPr>
          <w:rFonts w:ascii="Times New Roman" w:hAnsi="Times New Roman" w:cs="Times New Roman"/>
          <w:sz w:val="24"/>
          <w:szCs w:val="24"/>
        </w:rPr>
      </w:pPr>
      <w:r w:rsidRPr="005D3FDA">
        <w:rPr>
          <w:rFonts w:ascii="Times New Roman" w:hAnsi="Times New Roman" w:cs="Times New Roman"/>
          <w:sz w:val="24"/>
          <w:szCs w:val="24"/>
        </w:rPr>
        <w:t xml:space="preserve">Ensure targets are aligned with </w:t>
      </w:r>
      <w:r w:rsidR="00E970DE" w:rsidRPr="005D3FDA">
        <w:rPr>
          <w:rFonts w:ascii="Times New Roman" w:hAnsi="Times New Roman" w:cs="Times New Roman"/>
          <w:sz w:val="24"/>
          <w:szCs w:val="24"/>
        </w:rPr>
        <w:t>the FLMA’s</w:t>
      </w:r>
      <w:r w:rsidR="00696960" w:rsidRPr="005D3FDA">
        <w:rPr>
          <w:rFonts w:ascii="Times New Roman" w:hAnsi="Times New Roman" w:cs="Times New Roman"/>
          <w:sz w:val="24"/>
          <w:szCs w:val="24"/>
        </w:rPr>
        <w:t xml:space="preserve"> </w:t>
      </w:r>
      <w:r w:rsidR="004F302A" w:rsidRPr="005D3FDA">
        <w:rPr>
          <w:rFonts w:ascii="Times New Roman" w:hAnsi="Times New Roman" w:cs="Times New Roman"/>
          <w:sz w:val="24"/>
          <w:szCs w:val="24"/>
        </w:rPr>
        <w:t xml:space="preserve">national </w:t>
      </w:r>
      <w:r w:rsidR="008D2989" w:rsidRPr="008D2989">
        <w:rPr>
          <w:rFonts w:ascii="Times New Roman" w:hAnsi="Times New Roman" w:cs="Times New Roman"/>
          <w:sz w:val="24"/>
          <w:szCs w:val="24"/>
        </w:rPr>
        <w:t xml:space="preserve">Long-Range Transportation Plans (LRTP) </w:t>
      </w:r>
      <w:r w:rsidRPr="005D3FDA">
        <w:rPr>
          <w:rFonts w:ascii="Times New Roman" w:hAnsi="Times New Roman" w:cs="Times New Roman"/>
          <w:sz w:val="24"/>
          <w:szCs w:val="24"/>
        </w:rPr>
        <w:t xml:space="preserve">goals. </w:t>
      </w:r>
    </w:p>
    <w:bookmarkEnd w:id="5"/>
    <w:p w14:paraId="1C5DBE9B" w14:textId="77777777" w:rsidR="00C5291D" w:rsidRDefault="00C5291D" w:rsidP="005D3FDA">
      <w:pPr>
        <w:rPr>
          <w:rFonts w:ascii="Times New Roman" w:hAnsi="Times New Roman" w:cs="Times New Roman"/>
          <w:b/>
          <w:bCs/>
          <w:sz w:val="28"/>
          <w:szCs w:val="28"/>
        </w:rPr>
      </w:pPr>
      <w:r>
        <w:rPr>
          <w:rFonts w:ascii="Times New Roman" w:hAnsi="Times New Roman" w:cs="Times New Roman"/>
          <w:b/>
          <w:bCs/>
          <w:sz w:val="28"/>
          <w:szCs w:val="28"/>
        </w:rPr>
        <w:t xml:space="preserve">Descriptions of FLMAs’ </w:t>
      </w:r>
      <w:r w:rsidR="005D3FDA">
        <w:rPr>
          <w:rFonts w:ascii="Times New Roman" w:hAnsi="Times New Roman" w:cs="Times New Roman"/>
          <w:b/>
          <w:bCs/>
          <w:sz w:val="28"/>
          <w:szCs w:val="28"/>
        </w:rPr>
        <w:t>Approach</w:t>
      </w:r>
      <w:r>
        <w:rPr>
          <w:rFonts w:ascii="Times New Roman" w:hAnsi="Times New Roman" w:cs="Times New Roman"/>
          <w:b/>
          <w:bCs/>
          <w:sz w:val="28"/>
          <w:szCs w:val="28"/>
        </w:rPr>
        <w:t>es and/or Methodologies</w:t>
      </w:r>
    </w:p>
    <w:p w14:paraId="28E6D718" w14:textId="50541B57" w:rsidR="009D4ED8" w:rsidRPr="00243910" w:rsidRDefault="00727C80" w:rsidP="001F2E55">
      <w:pPr>
        <w:jc w:val="both"/>
        <w:rPr>
          <w:rFonts w:ascii="Times New Roman" w:hAnsi="Times New Roman" w:cs="Times New Roman"/>
          <w:sz w:val="24"/>
          <w:szCs w:val="24"/>
        </w:rPr>
      </w:pPr>
      <w:r w:rsidRPr="00727C80">
        <w:rPr>
          <w:rFonts w:ascii="Times New Roman" w:hAnsi="Times New Roman" w:cs="Times New Roman"/>
          <w:sz w:val="24"/>
          <w:szCs w:val="24"/>
        </w:rPr>
        <w:t xml:space="preserve">Under IIJA, </w:t>
      </w:r>
      <w:r>
        <w:rPr>
          <w:rFonts w:ascii="Times New Roman" w:hAnsi="Times New Roman" w:cs="Times New Roman"/>
          <w:sz w:val="24"/>
          <w:szCs w:val="24"/>
        </w:rPr>
        <w:t xml:space="preserve">greater attention will be placed by </w:t>
      </w:r>
      <w:r w:rsidR="00522B2E">
        <w:rPr>
          <w:rFonts w:ascii="Times New Roman" w:hAnsi="Times New Roman" w:cs="Times New Roman"/>
          <w:sz w:val="24"/>
          <w:szCs w:val="24"/>
        </w:rPr>
        <w:t>the Office of Federal Lands Highway (</w:t>
      </w:r>
      <w:r>
        <w:rPr>
          <w:rFonts w:ascii="Times New Roman" w:hAnsi="Times New Roman" w:cs="Times New Roman"/>
          <w:sz w:val="24"/>
          <w:szCs w:val="24"/>
        </w:rPr>
        <w:t>FLH</w:t>
      </w:r>
      <w:r w:rsidR="00522B2E">
        <w:rPr>
          <w:rFonts w:ascii="Times New Roman" w:hAnsi="Times New Roman" w:cs="Times New Roman"/>
          <w:sz w:val="24"/>
          <w:szCs w:val="24"/>
        </w:rPr>
        <w:t>)</w:t>
      </w:r>
      <w:r>
        <w:rPr>
          <w:rFonts w:ascii="Times New Roman" w:hAnsi="Times New Roman" w:cs="Times New Roman"/>
          <w:sz w:val="24"/>
          <w:szCs w:val="24"/>
        </w:rPr>
        <w:t xml:space="preserve"> on how FLMAs </w:t>
      </w:r>
      <w:r w:rsidR="00112147">
        <w:rPr>
          <w:rFonts w:ascii="Times New Roman" w:hAnsi="Times New Roman" w:cs="Times New Roman"/>
          <w:sz w:val="24"/>
          <w:szCs w:val="24"/>
        </w:rPr>
        <w:t xml:space="preserve">collect and </w:t>
      </w:r>
      <w:r>
        <w:rPr>
          <w:rFonts w:ascii="Times New Roman" w:hAnsi="Times New Roman" w:cs="Times New Roman"/>
          <w:sz w:val="24"/>
          <w:szCs w:val="24"/>
        </w:rPr>
        <w:t xml:space="preserve">use data from asset management-related systems and processes to inform integrated transportation planning and </w:t>
      </w:r>
      <w:r w:rsidRPr="00243910">
        <w:rPr>
          <w:rFonts w:ascii="Times New Roman" w:hAnsi="Times New Roman" w:cs="Times New Roman"/>
          <w:sz w:val="24"/>
          <w:szCs w:val="24"/>
        </w:rPr>
        <w:t>programming decision</w:t>
      </w:r>
      <w:r w:rsidR="00112147" w:rsidRPr="00243910">
        <w:rPr>
          <w:rFonts w:ascii="Times New Roman" w:hAnsi="Times New Roman" w:cs="Times New Roman"/>
          <w:sz w:val="24"/>
          <w:szCs w:val="24"/>
        </w:rPr>
        <w:t>-making</w:t>
      </w:r>
      <w:r w:rsidRPr="00243910">
        <w:rPr>
          <w:rFonts w:ascii="Times New Roman" w:hAnsi="Times New Roman" w:cs="Times New Roman"/>
          <w:sz w:val="24"/>
          <w:szCs w:val="24"/>
        </w:rPr>
        <w:t xml:space="preserve">.  </w:t>
      </w:r>
    </w:p>
    <w:p w14:paraId="70E11FD2" w14:textId="7DC33899" w:rsidR="001554D0" w:rsidRPr="001F2E55" w:rsidRDefault="001554D0" w:rsidP="00A929C8">
      <w:pPr>
        <w:pStyle w:val="NoSpacing"/>
        <w:numPr>
          <w:ilvl w:val="0"/>
          <w:numId w:val="11"/>
        </w:numPr>
        <w:spacing w:after="200" w:line="276" w:lineRule="auto"/>
        <w:jc w:val="both"/>
        <w:rPr>
          <w:rFonts w:ascii="Times New Roman" w:hAnsi="Times New Roman" w:cs="Times New Roman"/>
          <w:sz w:val="24"/>
          <w:szCs w:val="24"/>
        </w:rPr>
      </w:pPr>
      <w:r w:rsidRPr="001F2E55">
        <w:rPr>
          <w:rFonts w:ascii="Times New Roman" w:hAnsi="Times New Roman" w:cs="Times New Roman"/>
          <w:sz w:val="24"/>
          <w:szCs w:val="24"/>
        </w:rPr>
        <w:t xml:space="preserve">Describe your </w:t>
      </w:r>
      <w:r w:rsidR="00B253FF">
        <w:rPr>
          <w:rFonts w:ascii="Times New Roman" w:hAnsi="Times New Roman" w:cs="Times New Roman"/>
          <w:sz w:val="24"/>
          <w:szCs w:val="24"/>
        </w:rPr>
        <w:t>a</w:t>
      </w:r>
      <w:r w:rsidR="008D2989" w:rsidRPr="001F2E55">
        <w:rPr>
          <w:rFonts w:ascii="Times New Roman" w:hAnsi="Times New Roman" w:cs="Times New Roman"/>
          <w:sz w:val="24"/>
          <w:szCs w:val="24"/>
        </w:rPr>
        <w:t xml:space="preserve">gency’s </w:t>
      </w:r>
      <w:r w:rsidRPr="001F2E55">
        <w:rPr>
          <w:rFonts w:ascii="Times New Roman" w:hAnsi="Times New Roman" w:cs="Times New Roman"/>
          <w:sz w:val="24"/>
          <w:szCs w:val="24"/>
        </w:rPr>
        <w:t xml:space="preserve">decision-making strategy and method for including eligible assets into your </w:t>
      </w:r>
      <w:r w:rsidR="00995F05">
        <w:rPr>
          <w:rFonts w:ascii="Times New Roman" w:hAnsi="Times New Roman" w:cs="Times New Roman"/>
          <w:sz w:val="24"/>
          <w:szCs w:val="24"/>
        </w:rPr>
        <w:t xml:space="preserve">agency’s </w:t>
      </w:r>
      <w:r w:rsidRPr="001F2E55">
        <w:rPr>
          <w:rFonts w:ascii="Times New Roman" w:hAnsi="Times New Roman" w:cs="Times New Roman"/>
          <w:sz w:val="24"/>
          <w:szCs w:val="24"/>
        </w:rPr>
        <w:t>official inventory.  For example, how did you</w:t>
      </w:r>
      <w:r w:rsidR="00B253FF">
        <w:rPr>
          <w:rFonts w:ascii="Times New Roman" w:hAnsi="Times New Roman" w:cs="Times New Roman"/>
          <w:sz w:val="24"/>
          <w:szCs w:val="24"/>
        </w:rPr>
        <w:t>r agency</w:t>
      </w:r>
      <w:r w:rsidRPr="001F2E55">
        <w:rPr>
          <w:rFonts w:ascii="Times New Roman" w:hAnsi="Times New Roman" w:cs="Times New Roman"/>
          <w:sz w:val="24"/>
          <w:szCs w:val="24"/>
        </w:rPr>
        <w:t xml:space="preserve"> </w:t>
      </w:r>
      <w:r w:rsidR="00B253FF">
        <w:rPr>
          <w:rFonts w:ascii="Times New Roman" w:hAnsi="Times New Roman" w:cs="Times New Roman"/>
          <w:sz w:val="24"/>
          <w:szCs w:val="24"/>
        </w:rPr>
        <w:t xml:space="preserve">make a </w:t>
      </w:r>
      <w:r w:rsidRPr="001F2E55">
        <w:rPr>
          <w:rFonts w:ascii="Times New Roman" w:hAnsi="Times New Roman" w:cs="Times New Roman"/>
          <w:sz w:val="24"/>
          <w:szCs w:val="24"/>
        </w:rPr>
        <w:t>determin</w:t>
      </w:r>
      <w:r w:rsidR="00B253FF">
        <w:rPr>
          <w:rFonts w:ascii="Times New Roman" w:hAnsi="Times New Roman" w:cs="Times New Roman"/>
          <w:sz w:val="24"/>
          <w:szCs w:val="24"/>
        </w:rPr>
        <w:t>ation</w:t>
      </w:r>
      <w:r w:rsidRPr="001F2E55">
        <w:rPr>
          <w:rFonts w:ascii="Times New Roman" w:hAnsi="Times New Roman" w:cs="Times New Roman"/>
          <w:sz w:val="24"/>
          <w:szCs w:val="24"/>
        </w:rPr>
        <w:t xml:space="preserve"> to include public transportation facility X and not include public transportation facility Y? </w:t>
      </w:r>
    </w:p>
    <w:p w14:paraId="418ED349" w14:textId="3472A994" w:rsidR="00727C80" w:rsidRPr="001F2E55" w:rsidRDefault="009D4ED8" w:rsidP="00A929C8">
      <w:pPr>
        <w:pStyle w:val="NoSpacing"/>
        <w:numPr>
          <w:ilvl w:val="0"/>
          <w:numId w:val="11"/>
        </w:numPr>
        <w:spacing w:after="200" w:line="276" w:lineRule="auto"/>
        <w:jc w:val="both"/>
        <w:rPr>
          <w:rFonts w:ascii="Times New Roman" w:hAnsi="Times New Roman" w:cs="Times New Roman"/>
          <w:sz w:val="24"/>
          <w:szCs w:val="24"/>
        </w:rPr>
      </w:pPr>
      <w:r w:rsidRPr="001F2E55">
        <w:rPr>
          <w:rFonts w:ascii="Times New Roman" w:hAnsi="Times New Roman" w:cs="Times New Roman"/>
          <w:sz w:val="24"/>
          <w:szCs w:val="24"/>
        </w:rPr>
        <w:t xml:space="preserve">Describe </w:t>
      </w:r>
      <w:r w:rsidR="005D3FDA" w:rsidRPr="001F2E55">
        <w:rPr>
          <w:rFonts w:ascii="Times New Roman" w:hAnsi="Times New Roman" w:cs="Times New Roman"/>
          <w:sz w:val="24"/>
          <w:szCs w:val="24"/>
        </w:rPr>
        <w:t xml:space="preserve">your </w:t>
      </w:r>
      <w:r w:rsidR="00B253FF">
        <w:rPr>
          <w:rFonts w:ascii="Times New Roman" w:hAnsi="Times New Roman" w:cs="Times New Roman"/>
          <w:sz w:val="24"/>
          <w:szCs w:val="24"/>
        </w:rPr>
        <w:t>a</w:t>
      </w:r>
      <w:r w:rsidR="005D3FDA" w:rsidRPr="001F2E55">
        <w:rPr>
          <w:rFonts w:ascii="Times New Roman" w:hAnsi="Times New Roman" w:cs="Times New Roman"/>
          <w:sz w:val="24"/>
          <w:szCs w:val="24"/>
        </w:rPr>
        <w:t xml:space="preserve">gency’s </w:t>
      </w:r>
      <w:r w:rsidRPr="001F2E55">
        <w:rPr>
          <w:rFonts w:ascii="Times New Roman" w:hAnsi="Times New Roman" w:cs="Times New Roman"/>
          <w:sz w:val="24"/>
          <w:szCs w:val="24"/>
        </w:rPr>
        <w:t>strategy for incorporating data into the integrated planning</w:t>
      </w:r>
      <w:r w:rsidRPr="00B253FF">
        <w:rPr>
          <w:vertAlign w:val="superscript"/>
        </w:rPr>
        <w:footnoteReference w:id="2"/>
      </w:r>
      <w:r w:rsidRPr="001F2E55">
        <w:rPr>
          <w:rFonts w:ascii="Times New Roman" w:hAnsi="Times New Roman" w:cs="Times New Roman"/>
          <w:sz w:val="24"/>
          <w:szCs w:val="24"/>
        </w:rPr>
        <w:t xml:space="preserve"> effort in cooperation with FLH, State and Metropolitan Planning Organizations during the effective period of the IIJA.</w:t>
      </w:r>
    </w:p>
    <w:p w14:paraId="50AFC5F9" w14:textId="74767B1C" w:rsidR="00F031DC" w:rsidRPr="001F2E55" w:rsidRDefault="009D4ED8" w:rsidP="00A929C8">
      <w:pPr>
        <w:pStyle w:val="NoSpacing"/>
        <w:numPr>
          <w:ilvl w:val="0"/>
          <w:numId w:val="11"/>
        </w:numPr>
        <w:spacing w:after="200" w:line="276" w:lineRule="auto"/>
        <w:jc w:val="both"/>
        <w:rPr>
          <w:rFonts w:ascii="Times New Roman" w:hAnsi="Times New Roman" w:cs="Times New Roman"/>
          <w:sz w:val="24"/>
          <w:szCs w:val="24"/>
        </w:rPr>
      </w:pPr>
      <w:r w:rsidRPr="001F2E55">
        <w:rPr>
          <w:rFonts w:ascii="Times New Roman" w:hAnsi="Times New Roman" w:cs="Times New Roman"/>
          <w:sz w:val="24"/>
          <w:szCs w:val="24"/>
        </w:rPr>
        <w:t xml:space="preserve">Describe how </w:t>
      </w:r>
      <w:r w:rsidR="00727C80" w:rsidRPr="001F2E55">
        <w:rPr>
          <w:rFonts w:ascii="Times New Roman" w:hAnsi="Times New Roman" w:cs="Times New Roman"/>
          <w:sz w:val="24"/>
          <w:szCs w:val="24"/>
        </w:rPr>
        <w:t xml:space="preserve">asset management </w:t>
      </w:r>
      <w:r w:rsidRPr="001F2E55">
        <w:rPr>
          <w:rFonts w:ascii="Times New Roman" w:hAnsi="Times New Roman" w:cs="Times New Roman"/>
          <w:sz w:val="24"/>
          <w:szCs w:val="24"/>
        </w:rPr>
        <w:t>data informs</w:t>
      </w:r>
      <w:r w:rsidR="00727C80" w:rsidRPr="001F2E55">
        <w:rPr>
          <w:rFonts w:ascii="Times New Roman" w:hAnsi="Times New Roman" w:cs="Times New Roman"/>
          <w:sz w:val="24"/>
          <w:szCs w:val="24"/>
        </w:rPr>
        <w:t xml:space="preserve"> </w:t>
      </w:r>
      <w:r w:rsidR="00300581" w:rsidRPr="001F2E55">
        <w:rPr>
          <w:rFonts w:ascii="Times New Roman" w:hAnsi="Times New Roman" w:cs="Times New Roman"/>
          <w:sz w:val="24"/>
          <w:szCs w:val="24"/>
        </w:rPr>
        <w:t xml:space="preserve">decision-making in your </w:t>
      </w:r>
      <w:r w:rsidR="00B253FF">
        <w:rPr>
          <w:rFonts w:ascii="Times New Roman" w:hAnsi="Times New Roman" w:cs="Times New Roman"/>
          <w:sz w:val="24"/>
          <w:szCs w:val="24"/>
        </w:rPr>
        <w:t xml:space="preserve">agency’s </w:t>
      </w:r>
      <w:r w:rsidR="00300581" w:rsidRPr="001F2E55">
        <w:rPr>
          <w:rFonts w:ascii="Times New Roman" w:hAnsi="Times New Roman" w:cs="Times New Roman"/>
          <w:sz w:val="24"/>
          <w:szCs w:val="24"/>
        </w:rPr>
        <w:t xml:space="preserve">development of a </w:t>
      </w:r>
      <w:r w:rsidRPr="001F2E55">
        <w:rPr>
          <w:rFonts w:ascii="Times New Roman" w:hAnsi="Times New Roman" w:cs="Times New Roman"/>
          <w:sz w:val="24"/>
          <w:szCs w:val="24"/>
        </w:rPr>
        <w:t>multi-year pro</w:t>
      </w:r>
      <w:r w:rsidR="00727C80" w:rsidRPr="001F2E55">
        <w:rPr>
          <w:rFonts w:ascii="Times New Roman" w:hAnsi="Times New Roman" w:cs="Times New Roman"/>
          <w:sz w:val="24"/>
          <w:szCs w:val="24"/>
        </w:rPr>
        <w:t xml:space="preserve">gramming of projects that comprises your </w:t>
      </w:r>
      <w:r w:rsidR="00B253FF">
        <w:rPr>
          <w:rFonts w:ascii="Times New Roman" w:hAnsi="Times New Roman" w:cs="Times New Roman"/>
          <w:sz w:val="24"/>
          <w:szCs w:val="24"/>
        </w:rPr>
        <w:t xml:space="preserve">agency’s </w:t>
      </w:r>
      <w:r w:rsidR="00727C80" w:rsidRPr="001F2E55">
        <w:rPr>
          <w:rFonts w:ascii="Times New Roman" w:hAnsi="Times New Roman" w:cs="Times New Roman"/>
          <w:sz w:val="24"/>
          <w:szCs w:val="24"/>
        </w:rPr>
        <w:t>4-year Transportation Improvement Program</w:t>
      </w:r>
      <w:r w:rsidR="00F031DC" w:rsidRPr="00B253FF">
        <w:rPr>
          <w:vertAlign w:val="superscript"/>
        </w:rPr>
        <w:footnoteReference w:id="3"/>
      </w:r>
      <w:r w:rsidR="00727C80" w:rsidRPr="001F2E55">
        <w:rPr>
          <w:rFonts w:ascii="Times New Roman" w:hAnsi="Times New Roman" w:cs="Times New Roman"/>
          <w:sz w:val="24"/>
          <w:szCs w:val="24"/>
        </w:rPr>
        <w:t xml:space="preserve"> (TIP).</w:t>
      </w:r>
      <w:r w:rsidR="00744070" w:rsidRPr="001F2E55">
        <w:rPr>
          <w:rFonts w:ascii="Times New Roman" w:hAnsi="Times New Roman" w:cs="Times New Roman"/>
          <w:sz w:val="24"/>
          <w:szCs w:val="24"/>
        </w:rPr>
        <w:t xml:space="preserve">  </w:t>
      </w:r>
    </w:p>
    <w:p w14:paraId="605D2091" w14:textId="74584F3C" w:rsidR="00C5291D" w:rsidRPr="001F2E55" w:rsidRDefault="003D2B27" w:rsidP="00A929C8">
      <w:pPr>
        <w:pStyle w:val="NoSpacing"/>
        <w:numPr>
          <w:ilvl w:val="0"/>
          <w:numId w:val="11"/>
        </w:numPr>
        <w:spacing w:after="200" w:line="276" w:lineRule="auto"/>
        <w:jc w:val="both"/>
        <w:rPr>
          <w:rFonts w:ascii="Times New Roman" w:hAnsi="Times New Roman" w:cs="Times New Roman"/>
          <w:sz w:val="24"/>
          <w:szCs w:val="24"/>
        </w:rPr>
      </w:pPr>
      <w:r w:rsidRPr="001F2E55">
        <w:rPr>
          <w:rFonts w:ascii="Times New Roman" w:hAnsi="Times New Roman" w:cs="Times New Roman"/>
          <w:sz w:val="24"/>
          <w:szCs w:val="24"/>
        </w:rPr>
        <w:lastRenderedPageBreak/>
        <w:t xml:space="preserve">Life cycle planning (LCP) is an important </w:t>
      </w:r>
      <w:r w:rsidR="00303DCB" w:rsidRPr="001F2E55">
        <w:rPr>
          <w:rFonts w:ascii="Times New Roman" w:hAnsi="Times New Roman" w:cs="Times New Roman"/>
          <w:sz w:val="24"/>
          <w:szCs w:val="24"/>
        </w:rPr>
        <w:t>part of asset management</w:t>
      </w:r>
      <w:r w:rsidR="00FB24BF" w:rsidRPr="001F2E55">
        <w:rPr>
          <w:rFonts w:ascii="Times New Roman" w:hAnsi="Times New Roman" w:cs="Times New Roman"/>
          <w:sz w:val="24"/>
          <w:szCs w:val="24"/>
        </w:rPr>
        <w:t>.  In the same way that planned investments in the maintenance of a car are important to ensure it remains operational for as long as possible, LCP is key to achieving the lowest practical cost for improving and preserving pavements, bridges, and other transportation assets.</w:t>
      </w:r>
    </w:p>
    <w:p w14:paraId="6118CF0E" w14:textId="398376B6" w:rsidR="00C5291D" w:rsidRDefault="00303DCB" w:rsidP="00B253FF">
      <w:pPr>
        <w:ind w:left="360"/>
        <w:jc w:val="both"/>
        <w:rPr>
          <w:rFonts w:ascii="Times New Roman" w:hAnsi="Times New Roman" w:cs="Times New Roman"/>
          <w:sz w:val="24"/>
          <w:szCs w:val="24"/>
        </w:rPr>
      </w:pPr>
      <w:r w:rsidRPr="00303DCB">
        <w:rPr>
          <w:rFonts w:ascii="Times New Roman" w:hAnsi="Times New Roman" w:cs="Times New Roman"/>
          <w:sz w:val="24"/>
          <w:szCs w:val="24"/>
        </w:rPr>
        <w:t xml:space="preserve">FLMAs may tailor their </w:t>
      </w:r>
      <w:r>
        <w:rPr>
          <w:rFonts w:ascii="Times New Roman" w:hAnsi="Times New Roman" w:cs="Times New Roman"/>
          <w:sz w:val="24"/>
          <w:szCs w:val="24"/>
        </w:rPr>
        <w:t>LCP</w:t>
      </w:r>
      <w:r w:rsidRPr="00303DCB">
        <w:rPr>
          <w:rFonts w:ascii="Times New Roman" w:hAnsi="Times New Roman" w:cs="Times New Roman"/>
          <w:sz w:val="24"/>
          <w:szCs w:val="24"/>
        </w:rPr>
        <w:t xml:space="preserve"> to their unique needs and are not required to include all FLTP assets in a</w:t>
      </w:r>
      <w:r>
        <w:rPr>
          <w:rFonts w:ascii="Times New Roman" w:hAnsi="Times New Roman" w:cs="Times New Roman"/>
          <w:sz w:val="24"/>
          <w:szCs w:val="24"/>
        </w:rPr>
        <w:t>n</w:t>
      </w:r>
      <w:r w:rsidRPr="00303DCB">
        <w:rPr>
          <w:rFonts w:ascii="Times New Roman" w:hAnsi="Times New Roman" w:cs="Times New Roman"/>
          <w:sz w:val="24"/>
          <w:szCs w:val="24"/>
        </w:rPr>
        <w:t xml:space="preserve"> LCP network</w:t>
      </w:r>
      <w:r>
        <w:rPr>
          <w:rFonts w:ascii="Times New Roman" w:hAnsi="Times New Roman" w:cs="Times New Roman"/>
          <w:sz w:val="24"/>
          <w:szCs w:val="24"/>
        </w:rPr>
        <w:t xml:space="preserve">. They </w:t>
      </w:r>
      <w:r w:rsidRPr="00303DCB">
        <w:rPr>
          <w:rFonts w:ascii="Times New Roman" w:hAnsi="Times New Roman" w:cs="Times New Roman"/>
          <w:sz w:val="24"/>
          <w:szCs w:val="24"/>
        </w:rPr>
        <w:t>should</w:t>
      </w:r>
      <w:r>
        <w:rPr>
          <w:rFonts w:ascii="Times New Roman" w:hAnsi="Times New Roman" w:cs="Times New Roman"/>
          <w:sz w:val="24"/>
          <w:szCs w:val="24"/>
        </w:rPr>
        <w:t>, however,</w:t>
      </w:r>
      <w:r w:rsidRPr="00303DCB">
        <w:rPr>
          <w:rFonts w:ascii="Times New Roman" w:hAnsi="Times New Roman" w:cs="Times New Roman"/>
          <w:sz w:val="24"/>
          <w:szCs w:val="24"/>
        </w:rPr>
        <w:t xml:space="preserve"> include assets that have the greatest value, represent a significant annual investment to maintain, or are at risk due to current or future environmental conditions. The objective is to define a network that matches how </w:t>
      </w:r>
      <w:r>
        <w:rPr>
          <w:rFonts w:ascii="Times New Roman" w:hAnsi="Times New Roman" w:cs="Times New Roman"/>
          <w:sz w:val="24"/>
          <w:szCs w:val="24"/>
        </w:rPr>
        <w:t>the FLMA</w:t>
      </w:r>
      <w:r w:rsidRPr="00303DCB">
        <w:rPr>
          <w:rFonts w:ascii="Times New Roman" w:hAnsi="Times New Roman" w:cs="Times New Roman"/>
          <w:sz w:val="24"/>
          <w:szCs w:val="24"/>
        </w:rPr>
        <w:t xml:space="preserve"> manage</w:t>
      </w:r>
      <w:r>
        <w:rPr>
          <w:rFonts w:ascii="Times New Roman" w:hAnsi="Times New Roman" w:cs="Times New Roman"/>
          <w:sz w:val="24"/>
          <w:szCs w:val="24"/>
        </w:rPr>
        <w:t>s</w:t>
      </w:r>
      <w:r w:rsidRPr="00303DCB">
        <w:rPr>
          <w:rFonts w:ascii="Times New Roman" w:hAnsi="Times New Roman" w:cs="Times New Roman"/>
          <w:sz w:val="24"/>
          <w:szCs w:val="24"/>
        </w:rPr>
        <w:t xml:space="preserve"> </w:t>
      </w:r>
      <w:r>
        <w:rPr>
          <w:rFonts w:ascii="Times New Roman" w:hAnsi="Times New Roman" w:cs="Times New Roman"/>
          <w:sz w:val="24"/>
          <w:szCs w:val="24"/>
        </w:rPr>
        <w:t>their</w:t>
      </w:r>
      <w:r w:rsidRPr="00303DCB">
        <w:rPr>
          <w:rFonts w:ascii="Times New Roman" w:hAnsi="Times New Roman" w:cs="Times New Roman"/>
          <w:sz w:val="24"/>
          <w:szCs w:val="24"/>
        </w:rPr>
        <w:t xml:space="preserve"> system, moving away from a worst</w:t>
      </w:r>
      <w:r>
        <w:rPr>
          <w:rFonts w:ascii="Times New Roman" w:hAnsi="Times New Roman" w:cs="Times New Roman"/>
          <w:sz w:val="24"/>
          <w:szCs w:val="24"/>
        </w:rPr>
        <w:t>-</w:t>
      </w:r>
      <w:r w:rsidRPr="00303DCB">
        <w:rPr>
          <w:rFonts w:ascii="Times New Roman" w:hAnsi="Times New Roman" w:cs="Times New Roman"/>
          <w:sz w:val="24"/>
          <w:szCs w:val="24"/>
        </w:rPr>
        <w:t>first approach</w:t>
      </w:r>
      <w:r>
        <w:rPr>
          <w:rFonts w:ascii="Times New Roman" w:hAnsi="Times New Roman" w:cs="Times New Roman"/>
          <w:sz w:val="24"/>
          <w:szCs w:val="24"/>
        </w:rPr>
        <w:t xml:space="preserve"> and</w:t>
      </w:r>
      <w:r w:rsidRPr="00303DCB">
        <w:rPr>
          <w:rFonts w:ascii="Times New Roman" w:hAnsi="Times New Roman" w:cs="Times New Roman"/>
          <w:sz w:val="24"/>
          <w:szCs w:val="24"/>
        </w:rPr>
        <w:t xml:space="preserve"> toward</w:t>
      </w:r>
      <w:r>
        <w:rPr>
          <w:rFonts w:ascii="Times New Roman" w:hAnsi="Times New Roman" w:cs="Times New Roman"/>
          <w:sz w:val="24"/>
          <w:szCs w:val="24"/>
        </w:rPr>
        <w:t>s</w:t>
      </w:r>
      <w:r w:rsidRPr="00303DCB">
        <w:rPr>
          <w:rFonts w:ascii="Times New Roman" w:hAnsi="Times New Roman" w:cs="Times New Roman"/>
          <w:sz w:val="24"/>
          <w:szCs w:val="24"/>
        </w:rPr>
        <w:t xml:space="preserve"> a more structured and predictable sequence of maintenance, preservation, repair, rehabilitation, and replacement actions. </w:t>
      </w:r>
      <w:r w:rsidR="00243910">
        <w:rPr>
          <w:rFonts w:ascii="Times New Roman" w:hAnsi="Times New Roman" w:cs="Times New Roman"/>
          <w:sz w:val="24"/>
          <w:szCs w:val="24"/>
        </w:rPr>
        <w:t>Appendix A describes examples of Asset Management approaches.</w:t>
      </w:r>
    </w:p>
    <w:p w14:paraId="27502EDA" w14:textId="65D6160D" w:rsidR="00A73F24" w:rsidRPr="00B253FF" w:rsidRDefault="00303DCB" w:rsidP="00A929C8">
      <w:pPr>
        <w:pStyle w:val="ListParagraph"/>
        <w:numPr>
          <w:ilvl w:val="0"/>
          <w:numId w:val="12"/>
        </w:numPr>
        <w:ind w:left="720"/>
        <w:jc w:val="both"/>
        <w:rPr>
          <w:rFonts w:ascii="Times New Roman" w:hAnsi="Times New Roman" w:cs="Times New Roman"/>
          <w:sz w:val="24"/>
          <w:szCs w:val="24"/>
        </w:rPr>
      </w:pPr>
      <w:r w:rsidRPr="00B253FF">
        <w:rPr>
          <w:rFonts w:ascii="Times New Roman" w:hAnsi="Times New Roman" w:cs="Times New Roman"/>
          <w:sz w:val="24"/>
          <w:szCs w:val="24"/>
        </w:rPr>
        <w:t xml:space="preserve">Describe </w:t>
      </w:r>
      <w:r w:rsidR="00040D38" w:rsidRPr="00B253FF">
        <w:rPr>
          <w:rFonts w:ascii="Times New Roman" w:hAnsi="Times New Roman" w:cs="Times New Roman"/>
          <w:sz w:val="24"/>
          <w:szCs w:val="24"/>
        </w:rPr>
        <w:t>the FLMA’s</w:t>
      </w:r>
      <w:r w:rsidRPr="00B253FF">
        <w:rPr>
          <w:rFonts w:ascii="Times New Roman" w:hAnsi="Times New Roman" w:cs="Times New Roman"/>
          <w:sz w:val="24"/>
          <w:szCs w:val="24"/>
        </w:rPr>
        <w:t xml:space="preserve"> current practice of life cycle planning, and/or how </w:t>
      </w:r>
      <w:r w:rsidR="00040D38" w:rsidRPr="00B253FF">
        <w:rPr>
          <w:rFonts w:ascii="Times New Roman" w:hAnsi="Times New Roman" w:cs="Times New Roman"/>
          <w:sz w:val="24"/>
          <w:szCs w:val="24"/>
        </w:rPr>
        <w:t>the</w:t>
      </w:r>
      <w:r w:rsidRPr="00B253FF">
        <w:rPr>
          <w:rFonts w:ascii="Times New Roman" w:hAnsi="Times New Roman" w:cs="Times New Roman"/>
          <w:sz w:val="24"/>
          <w:szCs w:val="24"/>
        </w:rPr>
        <w:t xml:space="preserve"> agency plans to incorporate it over the next 5 years.  </w:t>
      </w:r>
      <w:r w:rsidR="000A3D47" w:rsidRPr="00B253FF">
        <w:rPr>
          <w:rFonts w:ascii="Times New Roman" w:hAnsi="Times New Roman" w:cs="Times New Roman"/>
          <w:sz w:val="24"/>
          <w:szCs w:val="24"/>
        </w:rPr>
        <w:t xml:space="preserve">Please </w:t>
      </w:r>
      <w:r w:rsidRPr="00B253FF">
        <w:rPr>
          <w:rFonts w:ascii="Times New Roman" w:hAnsi="Times New Roman" w:cs="Times New Roman"/>
          <w:sz w:val="24"/>
          <w:szCs w:val="24"/>
        </w:rPr>
        <w:t>include</w:t>
      </w:r>
      <w:r w:rsidR="00A73F24" w:rsidRPr="00B253FF">
        <w:rPr>
          <w:rFonts w:ascii="Times New Roman" w:hAnsi="Times New Roman" w:cs="Times New Roman"/>
          <w:sz w:val="24"/>
          <w:szCs w:val="24"/>
        </w:rPr>
        <w:t>:</w:t>
      </w:r>
    </w:p>
    <w:p w14:paraId="4A2230C5" w14:textId="0F972298" w:rsidR="00A73F24" w:rsidRDefault="00A73F24" w:rsidP="00A929C8">
      <w:pPr>
        <w:pStyle w:val="NoSpacing"/>
        <w:numPr>
          <w:ilvl w:val="0"/>
          <w:numId w:val="13"/>
        </w:numPr>
        <w:spacing w:after="200" w:line="276" w:lineRule="auto"/>
        <w:ind w:left="1080"/>
        <w:jc w:val="both"/>
        <w:rPr>
          <w:rFonts w:ascii="Times New Roman" w:hAnsi="Times New Roman" w:cs="Times New Roman"/>
          <w:sz w:val="24"/>
          <w:szCs w:val="24"/>
        </w:rPr>
      </w:pPr>
      <w:r w:rsidRPr="0076575F">
        <w:rPr>
          <w:rFonts w:ascii="Times New Roman" w:hAnsi="Times New Roman" w:cs="Times New Roman"/>
          <w:sz w:val="24"/>
          <w:szCs w:val="24"/>
        </w:rPr>
        <w:t xml:space="preserve">cost to </w:t>
      </w:r>
      <w:r w:rsidRPr="005D3FDA">
        <w:rPr>
          <w:rFonts w:ascii="Times New Roman" w:hAnsi="Times New Roman" w:cs="Times New Roman"/>
          <w:i/>
          <w:iCs/>
          <w:sz w:val="24"/>
          <w:szCs w:val="24"/>
        </w:rPr>
        <w:t>maintain or replace</w:t>
      </w:r>
      <w:r w:rsidRPr="0076575F">
        <w:rPr>
          <w:rFonts w:ascii="Times New Roman" w:hAnsi="Times New Roman" w:cs="Times New Roman"/>
          <w:sz w:val="24"/>
          <w:szCs w:val="24"/>
        </w:rPr>
        <w:t xml:space="preserve"> </w:t>
      </w:r>
      <w:r w:rsidR="000A3D47">
        <w:rPr>
          <w:rFonts w:ascii="Times New Roman" w:hAnsi="Times New Roman" w:cs="Times New Roman"/>
          <w:sz w:val="24"/>
          <w:szCs w:val="24"/>
        </w:rPr>
        <w:t xml:space="preserve">all </w:t>
      </w:r>
      <w:r>
        <w:rPr>
          <w:rFonts w:ascii="Times New Roman" w:hAnsi="Times New Roman" w:cs="Times New Roman"/>
          <w:sz w:val="24"/>
          <w:szCs w:val="24"/>
        </w:rPr>
        <w:t xml:space="preserve">transportation </w:t>
      </w:r>
      <w:r w:rsidRPr="0076575F">
        <w:rPr>
          <w:rFonts w:ascii="Times New Roman" w:hAnsi="Times New Roman" w:cs="Times New Roman"/>
          <w:sz w:val="24"/>
          <w:szCs w:val="24"/>
        </w:rPr>
        <w:t>assets</w:t>
      </w:r>
      <w:r w:rsidR="000A3D47">
        <w:rPr>
          <w:rFonts w:ascii="Times New Roman" w:hAnsi="Times New Roman" w:cs="Times New Roman"/>
          <w:sz w:val="24"/>
          <w:szCs w:val="24"/>
        </w:rPr>
        <w:t xml:space="preserve"> within your </w:t>
      </w:r>
      <w:r w:rsidR="00995F05">
        <w:rPr>
          <w:rFonts w:ascii="Times New Roman" w:hAnsi="Times New Roman" w:cs="Times New Roman"/>
          <w:sz w:val="24"/>
          <w:szCs w:val="24"/>
        </w:rPr>
        <w:t xml:space="preserve">agency’s </w:t>
      </w:r>
      <w:r w:rsidR="000A3D47">
        <w:rPr>
          <w:rFonts w:ascii="Times New Roman" w:hAnsi="Times New Roman" w:cs="Times New Roman"/>
          <w:sz w:val="24"/>
          <w:szCs w:val="24"/>
        </w:rPr>
        <w:t>official inventory</w:t>
      </w:r>
      <w:r w:rsidRPr="0076575F">
        <w:rPr>
          <w:rFonts w:ascii="Times New Roman" w:hAnsi="Times New Roman" w:cs="Times New Roman"/>
          <w:sz w:val="24"/>
          <w:szCs w:val="24"/>
        </w:rPr>
        <w:t>.</w:t>
      </w:r>
    </w:p>
    <w:p w14:paraId="0552E0EC" w14:textId="4E1C0E63" w:rsidR="00A73F24" w:rsidRPr="00300581" w:rsidRDefault="00112147" w:rsidP="00F031DC">
      <w:pPr>
        <w:pStyle w:val="NoSpacing"/>
        <w:spacing w:after="200" w:line="276" w:lineRule="auto"/>
        <w:ind w:left="1080"/>
        <w:jc w:val="both"/>
        <w:rPr>
          <w:rFonts w:ascii="Times New Roman" w:hAnsi="Times New Roman" w:cs="Times New Roman"/>
          <w:sz w:val="24"/>
          <w:szCs w:val="24"/>
        </w:rPr>
      </w:pPr>
      <w:r w:rsidRPr="00F031DC">
        <w:rPr>
          <w:rFonts w:ascii="Times New Roman" w:hAnsi="Times New Roman" w:cs="Times New Roman"/>
          <w:sz w:val="24"/>
          <w:szCs w:val="24"/>
        </w:rPr>
        <w:t xml:space="preserve">The requested cost information is </w:t>
      </w:r>
      <w:r w:rsidR="00A929C8" w:rsidRPr="00F031DC">
        <w:rPr>
          <w:rFonts w:ascii="Times New Roman" w:hAnsi="Times New Roman" w:cs="Times New Roman"/>
          <w:sz w:val="24"/>
          <w:szCs w:val="24"/>
        </w:rPr>
        <w:t>like</w:t>
      </w:r>
      <w:r w:rsidRPr="00F031DC">
        <w:rPr>
          <w:rFonts w:ascii="Times New Roman" w:hAnsi="Times New Roman" w:cs="Times New Roman"/>
          <w:sz w:val="24"/>
          <w:szCs w:val="24"/>
        </w:rPr>
        <w:t xml:space="preserve"> </w:t>
      </w:r>
      <w:r w:rsidR="00983E06" w:rsidRPr="00F031DC">
        <w:rPr>
          <w:rFonts w:ascii="Times New Roman" w:hAnsi="Times New Roman" w:cs="Times New Roman"/>
          <w:sz w:val="24"/>
          <w:szCs w:val="24"/>
        </w:rPr>
        <w:t xml:space="preserve">the </w:t>
      </w:r>
      <w:r w:rsidRPr="00F031DC">
        <w:rPr>
          <w:rFonts w:ascii="Times New Roman" w:hAnsi="Times New Roman" w:cs="Times New Roman"/>
          <w:sz w:val="24"/>
          <w:szCs w:val="24"/>
        </w:rPr>
        <w:t>backlog</w:t>
      </w:r>
      <w:r w:rsidR="009534EE">
        <w:rPr>
          <w:rFonts w:ascii="Times New Roman" w:hAnsi="Times New Roman" w:cs="Times New Roman"/>
          <w:sz w:val="24"/>
          <w:szCs w:val="24"/>
        </w:rPr>
        <w:t xml:space="preserve"> </w:t>
      </w:r>
      <w:r w:rsidRPr="00F031DC">
        <w:rPr>
          <w:rFonts w:ascii="Times New Roman" w:hAnsi="Times New Roman" w:cs="Times New Roman"/>
          <w:sz w:val="24"/>
          <w:szCs w:val="24"/>
        </w:rPr>
        <w:t>of</w:t>
      </w:r>
      <w:r w:rsidR="009534EE">
        <w:rPr>
          <w:rFonts w:ascii="Times New Roman" w:hAnsi="Times New Roman" w:cs="Times New Roman"/>
          <w:sz w:val="24"/>
          <w:szCs w:val="24"/>
        </w:rPr>
        <w:t xml:space="preserve"> </w:t>
      </w:r>
      <w:r w:rsidRPr="00F031DC">
        <w:rPr>
          <w:rFonts w:ascii="Times New Roman" w:hAnsi="Times New Roman" w:cs="Times New Roman"/>
          <w:sz w:val="24"/>
          <w:szCs w:val="24"/>
        </w:rPr>
        <w:t xml:space="preserve">transportation needs </w:t>
      </w:r>
      <w:r w:rsidR="009534EE">
        <w:rPr>
          <w:rFonts w:ascii="Times New Roman" w:hAnsi="Times New Roman" w:cs="Times New Roman"/>
          <w:sz w:val="24"/>
          <w:szCs w:val="24"/>
        </w:rPr>
        <w:t>the</w:t>
      </w:r>
      <w:r w:rsidRPr="00F031DC">
        <w:rPr>
          <w:rFonts w:ascii="Times New Roman" w:hAnsi="Times New Roman" w:cs="Times New Roman"/>
          <w:sz w:val="24"/>
          <w:szCs w:val="24"/>
        </w:rPr>
        <w:t xml:space="preserve"> </w:t>
      </w:r>
      <w:r w:rsidR="00983E06" w:rsidRPr="00F031DC">
        <w:rPr>
          <w:rFonts w:ascii="Times New Roman" w:hAnsi="Times New Roman" w:cs="Times New Roman"/>
          <w:sz w:val="24"/>
          <w:szCs w:val="24"/>
        </w:rPr>
        <w:t xml:space="preserve">FLMAs </w:t>
      </w:r>
      <w:r w:rsidRPr="00F031DC">
        <w:rPr>
          <w:rFonts w:ascii="Times New Roman" w:hAnsi="Times New Roman" w:cs="Times New Roman"/>
          <w:sz w:val="24"/>
          <w:szCs w:val="24"/>
        </w:rPr>
        <w:t xml:space="preserve">include in </w:t>
      </w:r>
      <w:r w:rsidR="00983E06" w:rsidRPr="00F031DC">
        <w:rPr>
          <w:rFonts w:ascii="Times New Roman" w:hAnsi="Times New Roman" w:cs="Times New Roman"/>
          <w:sz w:val="24"/>
          <w:szCs w:val="24"/>
        </w:rPr>
        <w:t xml:space="preserve">their </w:t>
      </w:r>
      <w:r w:rsidRPr="00F031DC">
        <w:rPr>
          <w:rFonts w:ascii="Times New Roman" w:hAnsi="Times New Roman" w:cs="Times New Roman"/>
          <w:sz w:val="24"/>
          <w:szCs w:val="24"/>
        </w:rPr>
        <w:t xml:space="preserve">reauthorization white papers.  Similarly, over the life of IIJA, </w:t>
      </w:r>
      <w:r w:rsidR="00E4567D" w:rsidRPr="00F031DC">
        <w:rPr>
          <w:rFonts w:ascii="Times New Roman" w:hAnsi="Times New Roman" w:cs="Times New Roman"/>
          <w:sz w:val="24"/>
          <w:szCs w:val="24"/>
        </w:rPr>
        <w:t>provide</w:t>
      </w:r>
      <w:r w:rsidRPr="00F031DC">
        <w:rPr>
          <w:rFonts w:ascii="Times New Roman" w:hAnsi="Times New Roman" w:cs="Times New Roman"/>
          <w:sz w:val="24"/>
          <w:szCs w:val="24"/>
        </w:rPr>
        <w:t xml:space="preserve"> </w:t>
      </w:r>
      <w:r w:rsidR="00983E06" w:rsidRPr="00F031DC">
        <w:rPr>
          <w:rFonts w:ascii="Times New Roman" w:hAnsi="Times New Roman" w:cs="Times New Roman"/>
          <w:sz w:val="24"/>
          <w:szCs w:val="24"/>
        </w:rPr>
        <w:t xml:space="preserve">the FLMA’s </w:t>
      </w:r>
      <w:r w:rsidRPr="00F031DC">
        <w:rPr>
          <w:rFonts w:ascii="Times New Roman" w:hAnsi="Times New Roman" w:cs="Times New Roman"/>
          <w:sz w:val="24"/>
          <w:szCs w:val="24"/>
        </w:rPr>
        <w:t xml:space="preserve">projected costs </w:t>
      </w:r>
      <w:r w:rsidR="009534EE">
        <w:rPr>
          <w:rFonts w:ascii="Times New Roman" w:hAnsi="Times New Roman" w:cs="Times New Roman"/>
          <w:sz w:val="24"/>
          <w:szCs w:val="24"/>
        </w:rPr>
        <w:t>for</w:t>
      </w:r>
      <w:r w:rsidR="009534EE" w:rsidRPr="00F031DC">
        <w:rPr>
          <w:rFonts w:ascii="Times New Roman" w:hAnsi="Times New Roman" w:cs="Times New Roman"/>
          <w:sz w:val="24"/>
          <w:szCs w:val="24"/>
        </w:rPr>
        <w:t xml:space="preserve"> </w:t>
      </w:r>
      <w:r w:rsidRPr="00F031DC">
        <w:rPr>
          <w:rFonts w:ascii="Times New Roman" w:hAnsi="Times New Roman" w:cs="Times New Roman"/>
          <w:sz w:val="24"/>
          <w:szCs w:val="24"/>
        </w:rPr>
        <w:t xml:space="preserve">all assets in your </w:t>
      </w:r>
      <w:r w:rsidR="00995F05">
        <w:rPr>
          <w:rFonts w:ascii="Times New Roman" w:hAnsi="Times New Roman" w:cs="Times New Roman"/>
          <w:sz w:val="24"/>
          <w:szCs w:val="24"/>
        </w:rPr>
        <w:t xml:space="preserve">agency’s </w:t>
      </w:r>
      <w:r w:rsidRPr="00F031DC">
        <w:rPr>
          <w:rFonts w:ascii="Times New Roman" w:hAnsi="Times New Roman" w:cs="Times New Roman"/>
          <w:sz w:val="24"/>
          <w:szCs w:val="24"/>
        </w:rPr>
        <w:t xml:space="preserve">inventory and a description of how the authorized funds (all 5 years) will support </w:t>
      </w:r>
      <w:r w:rsidR="00983E06" w:rsidRPr="00F031DC">
        <w:rPr>
          <w:rFonts w:ascii="Times New Roman" w:hAnsi="Times New Roman" w:cs="Times New Roman"/>
          <w:sz w:val="24"/>
          <w:szCs w:val="24"/>
        </w:rPr>
        <w:t xml:space="preserve">the FLMA’s </w:t>
      </w:r>
      <w:r w:rsidR="009534EE">
        <w:rPr>
          <w:rFonts w:ascii="Times New Roman" w:hAnsi="Times New Roman" w:cs="Times New Roman"/>
          <w:sz w:val="24"/>
          <w:szCs w:val="24"/>
        </w:rPr>
        <w:t>needs</w:t>
      </w:r>
      <w:r w:rsidRPr="00F031DC">
        <w:rPr>
          <w:rFonts w:ascii="Times New Roman" w:hAnsi="Times New Roman" w:cs="Times New Roman"/>
          <w:sz w:val="24"/>
          <w:szCs w:val="24"/>
        </w:rPr>
        <w:t xml:space="preserve">.  If </w:t>
      </w:r>
      <w:r w:rsidR="00983E06" w:rsidRPr="00F031DC">
        <w:rPr>
          <w:rFonts w:ascii="Times New Roman" w:hAnsi="Times New Roman" w:cs="Times New Roman"/>
          <w:sz w:val="24"/>
          <w:szCs w:val="24"/>
        </w:rPr>
        <w:t xml:space="preserve">the FLMA’s </w:t>
      </w:r>
      <w:r w:rsidRPr="00F031DC">
        <w:rPr>
          <w:rFonts w:ascii="Times New Roman" w:hAnsi="Times New Roman" w:cs="Times New Roman"/>
          <w:sz w:val="24"/>
          <w:szCs w:val="24"/>
        </w:rPr>
        <w:t>needs and requirements continue to greatly outweigh what is authorized under IIJA, that is valuable information</w:t>
      </w:r>
      <w:r w:rsidR="00983E06" w:rsidRPr="00F031DC">
        <w:rPr>
          <w:rFonts w:ascii="Times New Roman" w:hAnsi="Times New Roman" w:cs="Times New Roman"/>
          <w:sz w:val="24"/>
          <w:szCs w:val="24"/>
        </w:rPr>
        <w:t xml:space="preserve"> to convey</w:t>
      </w:r>
      <w:r w:rsidRPr="00F031DC">
        <w:rPr>
          <w:rFonts w:ascii="Times New Roman" w:hAnsi="Times New Roman" w:cs="Times New Roman"/>
          <w:sz w:val="24"/>
          <w:szCs w:val="24"/>
        </w:rPr>
        <w:t>.</w:t>
      </w:r>
    </w:p>
    <w:p w14:paraId="5991D4BF" w14:textId="77777777" w:rsidR="00983E06" w:rsidRPr="00983E06" w:rsidRDefault="00983E06" w:rsidP="00A929C8">
      <w:pPr>
        <w:pStyle w:val="NoSpacing"/>
        <w:numPr>
          <w:ilvl w:val="0"/>
          <w:numId w:val="13"/>
        </w:numPr>
        <w:spacing w:after="200" w:line="276" w:lineRule="auto"/>
        <w:ind w:left="1080"/>
        <w:jc w:val="both"/>
        <w:rPr>
          <w:rFonts w:ascii="Times New Roman" w:hAnsi="Times New Roman" w:cs="Times New Roman"/>
          <w:sz w:val="24"/>
          <w:szCs w:val="24"/>
        </w:rPr>
      </w:pPr>
      <w:r w:rsidRPr="00983E06">
        <w:rPr>
          <w:rFonts w:ascii="Times New Roman" w:hAnsi="Times New Roman" w:cs="Times New Roman"/>
          <w:sz w:val="24"/>
          <w:szCs w:val="24"/>
        </w:rPr>
        <w:t>cost to operate transit systems funded through the FLTP (as applicable).</w:t>
      </w:r>
    </w:p>
    <w:p w14:paraId="578B7EFF" w14:textId="41706836" w:rsidR="00A73F24" w:rsidRPr="00883541" w:rsidRDefault="00106F0D" w:rsidP="00A929C8">
      <w:pPr>
        <w:pStyle w:val="NoSpacing"/>
        <w:numPr>
          <w:ilvl w:val="0"/>
          <w:numId w:val="13"/>
        </w:numPr>
        <w:spacing w:after="200" w:line="276" w:lineRule="auto"/>
        <w:ind w:left="1080"/>
        <w:jc w:val="both"/>
        <w:rPr>
          <w:rFonts w:ascii="Times New Roman" w:hAnsi="Times New Roman" w:cs="Times New Roman"/>
          <w:sz w:val="24"/>
          <w:szCs w:val="24"/>
        </w:rPr>
      </w:pPr>
      <w:r>
        <w:rPr>
          <w:rFonts w:ascii="Times New Roman" w:hAnsi="Times New Roman" w:cs="Times New Roman"/>
          <w:sz w:val="24"/>
          <w:szCs w:val="24"/>
        </w:rPr>
        <w:t>Describe</w:t>
      </w:r>
      <w:r w:rsidR="00423C3E">
        <w:rPr>
          <w:rFonts w:ascii="Times New Roman" w:hAnsi="Times New Roman" w:cs="Times New Roman"/>
          <w:sz w:val="24"/>
          <w:szCs w:val="24"/>
        </w:rPr>
        <w:t xml:space="preserve"> </w:t>
      </w:r>
      <w:r w:rsidR="00A73F24">
        <w:rPr>
          <w:rFonts w:ascii="Times New Roman" w:hAnsi="Times New Roman" w:cs="Times New Roman"/>
          <w:sz w:val="24"/>
          <w:szCs w:val="24"/>
        </w:rPr>
        <w:t>how</w:t>
      </w:r>
      <w:r w:rsidR="00A73F24" w:rsidRPr="00883541">
        <w:rPr>
          <w:rFonts w:ascii="Times New Roman" w:hAnsi="Times New Roman" w:cs="Times New Roman"/>
          <w:sz w:val="24"/>
          <w:szCs w:val="24"/>
        </w:rPr>
        <w:t xml:space="preserve"> the </w:t>
      </w:r>
      <w:r w:rsidR="00423C3E">
        <w:rPr>
          <w:rFonts w:ascii="Times New Roman" w:hAnsi="Times New Roman" w:cs="Times New Roman"/>
          <w:sz w:val="24"/>
          <w:szCs w:val="24"/>
        </w:rPr>
        <w:t xml:space="preserve">FLMA </w:t>
      </w:r>
      <w:r w:rsidR="00A73F24">
        <w:rPr>
          <w:rFonts w:ascii="Times New Roman" w:hAnsi="Times New Roman" w:cs="Times New Roman"/>
          <w:sz w:val="24"/>
          <w:szCs w:val="24"/>
        </w:rPr>
        <w:t xml:space="preserve">plans to implement </w:t>
      </w:r>
      <w:r w:rsidR="00423C3E">
        <w:rPr>
          <w:rFonts w:ascii="Times New Roman" w:hAnsi="Times New Roman" w:cs="Times New Roman"/>
          <w:sz w:val="24"/>
          <w:szCs w:val="24"/>
        </w:rPr>
        <w:t xml:space="preserve">and/or enhance </w:t>
      </w:r>
      <w:r>
        <w:rPr>
          <w:rFonts w:ascii="Times New Roman" w:hAnsi="Times New Roman" w:cs="Times New Roman"/>
          <w:sz w:val="24"/>
          <w:szCs w:val="24"/>
        </w:rPr>
        <w:t xml:space="preserve">the </w:t>
      </w:r>
      <w:r w:rsidR="00A73F24" w:rsidRPr="00883541">
        <w:rPr>
          <w:rFonts w:ascii="Times New Roman" w:hAnsi="Times New Roman" w:cs="Times New Roman"/>
          <w:sz w:val="24"/>
          <w:szCs w:val="24"/>
        </w:rPr>
        <w:t xml:space="preserve">specific management systems below </w:t>
      </w:r>
      <w:r w:rsidR="00423C3E">
        <w:rPr>
          <w:rFonts w:ascii="Times New Roman" w:hAnsi="Times New Roman" w:cs="Times New Roman"/>
          <w:sz w:val="24"/>
          <w:szCs w:val="24"/>
        </w:rPr>
        <w:t xml:space="preserve">under IIJA, </w:t>
      </w:r>
      <w:r w:rsidR="00F60BB4">
        <w:rPr>
          <w:rFonts w:ascii="Times New Roman" w:hAnsi="Times New Roman" w:cs="Times New Roman"/>
          <w:sz w:val="24"/>
          <w:szCs w:val="24"/>
        </w:rPr>
        <w:t xml:space="preserve">and </w:t>
      </w:r>
      <w:r>
        <w:rPr>
          <w:rFonts w:ascii="Times New Roman" w:hAnsi="Times New Roman" w:cs="Times New Roman"/>
          <w:sz w:val="24"/>
          <w:szCs w:val="24"/>
        </w:rPr>
        <w:t>explain</w:t>
      </w:r>
      <w:r w:rsidR="00F60BB4" w:rsidRPr="00883541">
        <w:rPr>
          <w:rFonts w:ascii="Times New Roman" w:hAnsi="Times New Roman" w:cs="Times New Roman"/>
          <w:sz w:val="24"/>
          <w:szCs w:val="24"/>
        </w:rPr>
        <w:t xml:space="preserve"> </w:t>
      </w:r>
      <w:r w:rsidR="00A73F24" w:rsidRPr="00883541">
        <w:rPr>
          <w:rFonts w:ascii="Times New Roman" w:hAnsi="Times New Roman" w:cs="Times New Roman"/>
          <w:sz w:val="24"/>
          <w:szCs w:val="24"/>
        </w:rPr>
        <w:t>how i</w:t>
      </w:r>
      <w:r w:rsidR="00F60BB4">
        <w:rPr>
          <w:rFonts w:ascii="Times New Roman" w:hAnsi="Times New Roman" w:cs="Times New Roman"/>
          <w:sz w:val="24"/>
          <w:szCs w:val="24"/>
        </w:rPr>
        <w:t>nformation from these systems</w:t>
      </w:r>
      <w:r w:rsidR="00A73F24" w:rsidRPr="00883541">
        <w:rPr>
          <w:rFonts w:ascii="Times New Roman" w:hAnsi="Times New Roman" w:cs="Times New Roman"/>
          <w:sz w:val="24"/>
          <w:szCs w:val="24"/>
        </w:rPr>
        <w:t xml:space="preserve"> </w:t>
      </w:r>
      <w:r w:rsidR="00423C3E">
        <w:rPr>
          <w:rFonts w:ascii="Times New Roman" w:hAnsi="Times New Roman" w:cs="Times New Roman"/>
          <w:sz w:val="24"/>
          <w:szCs w:val="24"/>
        </w:rPr>
        <w:t xml:space="preserve">will be </w:t>
      </w:r>
      <w:r w:rsidR="00A73F24" w:rsidRPr="00883541">
        <w:rPr>
          <w:rFonts w:ascii="Times New Roman" w:hAnsi="Times New Roman" w:cs="Times New Roman"/>
          <w:sz w:val="24"/>
          <w:szCs w:val="24"/>
        </w:rPr>
        <w:t xml:space="preserve">used to support </w:t>
      </w:r>
      <w:r w:rsidR="00423C3E">
        <w:rPr>
          <w:rFonts w:ascii="Times New Roman" w:hAnsi="Times New Roman" w:cs="Times New Roman"/>
          <w:sz w:val="24"/>
          <w:szCs w:val="24"/>
        </w:rPr>
        <w:t xml:space="preserve">programming </w:t>
      </w:r>
      <w:r w:rsidR="00A73F24" w:rsidRPr="00883541">
        <w:rPr>
          <w:rFonts w:ascii="Times New Roman" w:hAnsi="Times New Roman" w:cs="Times New Roman"/>
          <w:sz w:val="24"/>
          <w:szCs w:val="24"/>
        </w:rPr>
        <w:t>decision making:</w:t>
      </w:r>
    </w:p>
    <w:p w14:paraId="1D93DE7F" w14:textId="77777777" w:rsidR="00A73F24" w:rsidRPr="00883541" w:rsidRDefault="00A73F24" w:rsidP="00A929C8">
      <w:pPr>
        <w:pStyle w:val="NoSpacing"/>
        <w:numPr>
          <w:ilvl w:val="0"/>
          <w:numId w:val="14"/>
        </w:numPr>
        <w:spacing w:after="200" w:line="276" w:lineRule="auto"/>
        <w:ind w:left="1530"/>
        <w:jc w:val="both"/>
        <w:rPr>
          <w:rFonts w:ascii="Times New Roman" w:hAnsi="Times New Roman" w:cs="Times New Roman"/>
          <w:sz w:val="24"/>
          <w:szCs w:val="24"/>
        </w:rPr>
      </w:pPr>
      <w:r w:rsidRPr="00883541">
        <w:rPr>
          <w:rFonts w:ascii="Times New Roman" w:hAnsi="Times New Roman" w:cs="Times New Roman"/>
          <w:sz w:val="24"/>
          <w:szCs w:val="24"/>
        </w:rPr>
        <w:t>Pavement management system information</w:t>
      </w:r>
    </w:p>
    <w:p w14:paraId="4CCB6A27" w14:textId="77777777" w:rsidR="00A73F24" w:rsidRPr="00883541" w:rsidRDefault="00A73F24" w:rsidP="00A929C8">
      <w:pPr>
        <w:pStyle w:val="NoSpacing"/>
        <w:numPr>
          <w:ilvl w:val="0"/>
          <w:numId w:val="14"/>
        </w:numPr>
        <w:spacing w:after="200" w:line="276" w:lineRule="auto"/>
        <w:ind w:left="1530"/>
        <w:jc w:val="both"/>
        <w:rPr>
          <w:rFonts w:ascii="Times New Roman" w:hAnsi="Times New Roman" w:cs="Times New Roman"/>
          <w:sz w:val="24"/>
          <w:szCs w:val="24"/>
        </w:rPr>
      </w:pPr>
      <w:r w:rsidRPr="00883541">
        <w:rPr>
          <w:rFonts w:ascii="Times New Roman" w:hAnsi="Times New Roman" w:cs="Times New Roman"/>
          <w:sz w:val="24"/>
          <w:szCs w:val="24"/>
        </w:rPr>
        <w:t>Bridge management system information</w:t>
      </w:r>
    </w:p>
    <w:p w14:paraId="32B446F7" w14:textId="77777777" w:rsidR="00A73F24" w:rsidRPr="008E7977" w:rsidRDefault="00A73F24" w:rsidP="00A929C8">
      <w:pPr>
        <w:pStyle w:val="NoSpacing"/>
        <w:numPr>
          <w:ilvl w:val="0"/>
          <w:numId w:val="14"/>
        </w:numPr>
        <w:spacing w:after="200" w:line="276" w:lineRule="auto"/>
        <w:ind w:left="1530"/>
        <w:jc w:val="both"/>
        <w:rPr>
          <w:rFonts w:ascii="Times New Roman" w:hAnsi="Times New Roman" w:cs="Times New Roman"/>
          <w:sz w:val="24"/>
          <w:szCs w:val="24"/>
        </w:rPr>
      </w:pPr>
      <w:r w:rsidRPr="008E7977">
        <w:rPr>
          <w:rFonts w:ascii="Times New Roman" w:hAnsi="Times New Roman" w:cs="Times New Roman"/>
          <w:sz w:val="24"/>
          <w:szCs w:val="24"/>
        </w:rPr>
        <w:t>Congestion management system information, where applicable</w:t>
      </w:r>
    </w:p>
    <w:p w14:paraId="0775E54C" w14:textId="77777777" w:rsidR="00423C3E" w:rsidRPr="008E7977" w:rsidRDefault="00A73F24" w:rsidP="00A929C8">
      <w:pPr>
        <w:pStyle w:val="NoSpacing"/>
        <w:numPr>
          <w:ilvl w:val="0"/>
          <w:numId w:val="14"/>
        </w:numPr>
        <w:spacing w:after="200" w:line="276" w:lineRule="auto"/>
        <w:ind w:left="1530"/>
        <w:jc w:val="both"/>
        <w:rPr>
          <w:rFonts w:ascii="Times New Roman" w:hAnsi="Times New Roman" w:cs="Times New Roman"/>
          <w:sz w:val="24"/>
          <w:szCs w:val="24"/>
        </w:rPr>
      </w:pPr>
      <w:r w:rsidRPr="008E7977">
        <w:rPr>
          <w:rFonts w:ascii="Times New Roman" w:hAnsi="Times New Roman" w:cs="Times New Roman"/>
          <w:sz w:val="24"/>
          <w:szCs w:val="24"/>
        </w:rPr>
        <w:t>Safety management system information</w:t>
      </w:r>
      <w:r w:rsidR="00583725" w:rsidRPr="008E7977">
        <w:rPr>
          <w:rFonts w:ascii="Times New Roman" w:hAnsi="Times New Roman" w:cs="Times New Roman"/>
          <w:sz w:val="24"/>
          <w:szCs w:val="24"/>
        </w:rPr>
        <w:t xml:space="preserve"> (if applicable)</w:t>
      </w:r>
      <w:r w:rsidRPr="008E7977">
        <w:rPr>
          <w:rFonts w:ascii="Times New Roman" w:hAnsi="Times New Roman" w:cs="Times New Roman"/>
          <w:sz w:val="24"/>
          <w:szCs w:val="24"/>
        </w:rPr>
        <w:t xml:space="preserve"> including fatality and serious injuries </w:t>
      </w:r>
    </w:p>
    <w:p w14:paraId="237ADF93" w14:textId="55190550" w:rsidR="00A1285F" w:rsidRPr="008E7977" w:rsidRDefault="00423C3E" w:rsidP="00A929C8">
      <w:pPr>
        <w:pStyle w:val="NoSpacing"/>
        <w:numPr>
          <w:ilvl w:val="0"/>
          <w:numId w:val="14"/>
        </w:numPr>
        <w:spacing w:after="200" w:line="276" w:lineRule="auto"/>
        <w:ind w:left="1530"/>
        <w:jc w:val="both"/>
        <w:rPr>
          <w:rFonts w:ascii="Times New Roman" w:hAnsi="Times New Roman" w:cs="Times New Roman"/>
          <w:b/>
          <w:bCs/>
          <w:sz w:val="24"/>
          <w:szCs w:val="24"/>
        </w:rPr>
      </w:pPr>
      <w:r w:rsidRPr="008E7977">
        <w:rPr>
          <w:rFonts w:ascii="Times New Roman" w:hAnsi="Times New Roman" w:cs="Times New Roman"/>
          <w:sz w:val="24"/>
          <w:szCs w:val="24"/>
        </w:rPr>
        <w:t>Other management systems</w:t>
      </w:r>
      <w:r w:rsidR="00A73F24" w:rsidRPr="008E7977">
        <w:rPr>
          <w:rFonts w:ascii="Times New Roman" w:hAnsi="Times New Roman" w:cs="Times New Roman"/>
          <w:sz w:val="24"/>
          <w:szCs w:val="24"/>
        </w:rPr>
        <w:t xml:space="preserve"> </w:t>
      </w:r>
    </w:p>
    <w:p w14:paraId="3290FDCA" w14:textId="056C14E9" w:rsidR="00D14B44" w:rsidRPr="00A929C8" w:rsidRDefault="00106F0D" w:rsidP="00A929C8">
      <w:pPr>
        <w:pStyle w:val="NoSpacing"/>
        <w:numPr>
          <w:ilvl w:val="0"/>
          <w:numId w:val="1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Identify</w:t>
      </w:r>
      <w:r w:rsidR="00D14B44" w:rsidRPr="008E7977">
        <w:rPr>
          <w:rFonts w:ascii="Times New Roman" w:hAnsi="Times New Roman" w:cs="Times New Roman"/>
          <w:sz w:val="24"/>
          <w:szCs w:val="24"/>
        </w:rPr>
        <w:t xml:space="preserve"> </w:t>
      </w:r>
      <w:r w:rsidR="00BF046D" w:rsidRPr="008E7977">
        <w:rPr>
          <w:rFonts w:ascii="Times New Roman" w:hAnsi="Times New Roman" w:cs="Times New Roman"/>
          <w:sz w:val="24"/>
          <w:szCs w:val="24"/>
        </w:rPr>
        <w:t xml:space="preserve">resource management initiatives </w:t>
      </w:r>
      <w:r w:rsidR="00F40041" w:rsidRPr="008E7977">
        <w:rPr>
          <w:rFonts w:ascii="Times New Roman" w:hAnsi="Times New Roman" w:cs="Times New Roman"/>
          <w:sz w:val="24"/>
          <w:szCs w:val="24"/>
        </w:rPr>
        <w:t>that are unique and not cited in the body of this guidance</w:t>
      </w:r>
      <w:r w:rsidR="00F40041" w:rsidRPr="008E7977" w:rsidDel="00F40041">
        <w:rPr>
          <w:rFonts w:ascii="Times New Roman" w:hAnsi="Times New Roman" w:cs="Times New Roman"/>
          <w:sz w:val="24"/>
          <w:szCs w:val="24"/>
        </w:rPr>
        <w:t xml:space="preserve"> </w:t>
      </w:r>
      <w:r w:rsidR="00F40041" w:rsidRPr="008E7977">
        <w:rPr>
          <w:rFonts w:ascii="Times New Roman" w:hAnsi="Times New Roman" w:cs="Times New Roman"/>
          <w:sz w:val="24"/>
          <w:szCs w:val="24"/>
        </w:rPr>
        <w:t xml:space="preserve">which the </w:t>
      </w:r>
      <w:r w:rsidR="006D0B31" w:rsidRPr="008E7977">
        <w:rPr>
          <w:rFonts w:ascii="Times New Roman" w:hAnsi="Times New Roman" w:cs="Times New Roman"/>
          <w:sz w:val="24"/>
          <w:szCs w:val="24"/>
        </w:rPr>
        <w:t xml:space="preserve">FLMAs </w:t>
      </w:r>
      <w:r w:rsidR="00BF046D" w:rsidRPr="008E7977">
        <w:rPr>
          <w:rFonts w:ascii="Times New Roman" w:hAnsi="Times New Roman" w:cs="Times New Roman"/>
          <w:sz w:val="24"/>
          <w:szCs w:val="24"/>
        </w:rPr>
        <w:t xml:space="preserve">intend to fund in FYs </w:t>
      </w:r>
      <w:r w:rsidR="00F40041" w:rsidRPr="008E7977">
        <w:rPr>
          <w:rFonts w:ascii="Times New Roman" w:hAnsi="Times New Roman" w:cs="Times New Roman"/>
          <w:sz w:val="24"/>
          <w:szCs w:val="24"/>
        </w:rPr>
        <w:t>20</w:t>
      </w:r>
      <w:r w:rsidR="00BF046D" w:rsidRPr="008E7977">
        <w:rPr>
          <w:rFonts w:ascii="Times New Roman" w:hAnsi="Times New Roman" w:cs="Times New Roman"/>
          <w:sz w:val="24"/>
          <w:szCs w:val="24"/>
        </w:rPr>
        <w:t>22</w:t>
      </w:r>
      <w:r w:rsidR="00F40041" w:rsidRPr="008E7977">
        <w:rPr>
          <w:rFonts w:ascii="Times New Roman" w:hAnsi="Times New Roman" w:cs="Times New Roman"/>
          <w:sz w:val="24"/>
          <w:szCs w:val="24"/>
        </w:rPr>
        <w:t xml:space="preserve"> </w:t>
      </w:r>
      <w:r w:rsidR="00BF046D" w:rsidRPr="008E7977">
        <w:rPr>
          <w:rFonts w:ascii="Times New Roman" w:hAnsi="Times New Roman" w:cs="Times New Roman"/>
          <w:sz w:val="24"/>
          <w:szCs w:val="24"/>
        </w:rPr>
        <w:t>-</w:t>
      </w:r>
      <w:r w:rsidR="00F40041" w:rsidRPr="008E7977">
        <w:rPr>
          <w:rFonts w:ascii="Times New Roman" w:hAnsi="Times New Roman" w:cs="Times New Roman"/>
          <w:sz w:val="24"/>
          <w:szCs w:val="24"/>
        </w:rPr>
        <w:t xml:space="preserve"> 20</w:t>
      </w:r>
      <w:r w:rsidR="00BF046D" w:rsidRPr="008E7977">
        <w:rPr>
          <w:rFonts w:ascii="Times New Roman" w:hAnsi="Times New Roman" w:cs="Times New Roman"/>
          <w:sz w:val="24"/>
          <w:szCs w:val="24"/>
        </w:rPr>
        <w:t xml:space="preserve">26 with </w:t>
      </w:r>
      <w:r w:rsidR="00F40041" w:rsidRPr="008E7977">
        <w:rPr>
          <w:rFonts w:ascii="Times New Roman" w:hAnsi="Times New Roman" w:cs="Times New Roman"/>
          <w:sz w:val="24"/>
          <w:szCs w:val="24"/>
        </w:rPr>
        <w:t xml:space="preserve">23 U.S.C. </w:t>
      </w:r>
      <w:r w:rsidR="00BF046D" w:rsidRPr="008E7977">
        <w:rPr>
          <w:rFonts w:ascii="Times New Roman" w:hAnsi="Times New Roman" w:cs="Times New Roman"/>
          <w:sz w:val="24"/>
          <w:szCs w:val="24"/>
        </w:rPr>
        <w:t xml:space="preserve">203 and/or </w:t>
      </w:r>
      <w:r w:rsidR="00F40041" w:rsidRPr="008E7977">
        <w:rPr>
          <w:rFonts w:ascii="Times New Roman" w:hAnsi="Times New Roman" w:cs="Times New Roman"/>
          <w:sz w:val="24"/>
          <w:szCs w:val="24"/>
        </w:rPr>
        <w:t xml:space="preserve">23 </w:t>
      </w:r>
      <w:r w:rsidR="00F40041" w:rsidRPr="008E7977">
        <w:rPr>
          <w:rFonts w:ascii="Times New Roman" w:hAnsi="Times New Roman" w:cs="Times New Roman"/>
          <w:sz w:val="24"/>
          <w:szCs w:val="24"/>
        </w:rPr>
        <w:lastRenderedPageBreak/>
        <w:t xml:space="preserve">U.S.C. </w:t>
      </w:r>
      <w:r w:rsidR="00BF046D" w:rsidRPr="008E7977">
        <w:rPr>
          <w:rFonts w:ascii="Times New Roman" w:hAnsi="Times New Roman" w:cs="Times New Roman"/>
          <w:sz w:val="24"/>
          <w:szCs w:val="24"/>
        </w:rPr>
        <w:t xml:space="preserve">201 funds. </w:t>
      </w:r>
      <w:r w:rsidR="0092069C" w:rsidRPr="008E7977">
        <w:rPr>
          <w:rFonts w:ascii="Times New Roman" w:hAnsi="Times New Roman" w:cs="Times New Roman"/>
          <w:sz w:val="24"/>
          <w:szCs w:val="24"/>
        </w:rPr>
        <w:t>E</w:t>
      </w:r>
      <w:r w:rsidR="00F40041" w:rsidRPr="008E7977">
        <w:rPr>
          <w:rFonts w:ascii="Times New Roman" w:hAnsi="Times New Roman" w:cs="Times New Roman"/>
          <w:sz w:val="24"/>
          <w:szCs w:val="24"/>
        </w:rPr>
        <w:t>xplain</w:t>
      </w:r>
      <w:r w:rsidR="00367030" w:rsidRPr="008E7977">
        <w:rPr>
          <w:rFonts w:ascii="Times New Roman" w:hAnsi="Times New Roman" w:cs="Times New Roman"/>
          <w:sz w:val="24"/>
          <w:szCs w:val="24"/>
        </w:rPr>
        <w:t xml:space="preserve"> how</w:t>
      </w:r>
      <w:r w:rsidR="00367030" w:rsidRPr="00F42920">
        <w:rPr>
          <w:rFonts w:ascii="Times New Roman" w:hAnsi="Times New Roman" w:cs="Times New Roman"/>
          <w:sz w:val="24"/>
          <w:szCs w:val="24"/>
        </w:rPr>
        <w:t xml:space="preserve"> the</w:t>
      </w:r>
      <w:r w:rsidR="00F40041" w:rsidRPr="00F42920">
        <w:rPr>
          <w:rFonts w:ascii="Times New Roman" w:hAnsi="Times New Roman" w:cs="Times New Roman"/>
          <w:sz w:val="24"/>
          <w:szCs w:val="24"/>
        </w:rPr>
        <w:t>se initiatives</w:t>
      </w:r>
      <w:r w:rsidR="00367030" w:rsidRPr="00F42920">
        <w:rPr>
          <w:rFonts w:ascii="Times New Roman" w:hAnsi="Times New Roman" w:cs="Times New Roman"/>
          <w:sz w:val="24"/>
          <w:szCs w:val="24"/>
        </w:rPr>
        <w:t xml:space="preserve"> </w:t>
      </w:r>
      <w:r w:rsidR="00794847" w:rsidRPr="00F42920">
        <w:rPr>
          <w:rFonts w:ascii="Times New Roman" w:hAnsi="Times New Roman" w:cs="Times New Roman"/>
          <w:sz w:val="24"/>
          <w:szCs w:val="24"/>
        </w:rPr>
        <w:t xml:space="preserve">affect </w:t>
      </w:r>
      <w:r w:rsidR="00367030" w:rsidRPr="00F42920">
        <w:rPr>
          <w:rFonts w:ascii="Times New Roman" w:hAnsi="Times New Roman" w:cs="Times New Roman"/>
          <w:sz w:val="24"/>
          <w:szCs w:val="24"/>
        </w:rPr>
        <w:t>performance-based planning and programming</w:t>
      </w:r>
      <w:r w:rsidR="006D0B31" w:rsidRPr="00F42920">
        <w:rPr>
          <w:rFonts w:ascii="Times New Roman" w:hAnsi="Times New Roman" w:cs="Times New Roman"/>
          <w:sz w:val="24"/>
          <w:szCs w:val="24"/>
        </w:rPr>
        <w:t xml:space="preserve"> goals</w:t>
      </w:r>
      <w:r w:rsidR="00367030" w:rsidRPr="00F42920">
        <w:rPr>
          <w:rFonts w:ascii="Times New Roman" w:hAnsi="Times New Roman" w:cs="Times New Roman"/>
          <w:sz w:val="24"/>
          <w:szCs w:val="24"/>
        </w:rPr>
        <w:t xml:space="preserve">. </w:t>
      </w:r>
    </w:p>
    <w:p w14:paraId="2F59410B" w14:textId="67A5C619" w:rsidR="003C5E72" w:rsidRPr="0076575F" w:rsidRDefault="003C5E72" w:rsidP="000040B4">
      <w:pPr>
        <w:pStyle w:val="Heading1"/>
        <w:spacing w:before="0" w:after="200"/>
        <w:rPr>
          <w:rFonts w:ascii="Times New Roman" w:hAnsi="Times New Roman" w:cs="Times New Roman"/>
          <w:color w:val="auto"/>
          <w:sz w:val="32"/>
          <w:szCs w:val="32"/>
        </w:rPr>
      </w:pPr>
      <w:bookmarkStart w:id="6" w:name="_Toc103684610"/>
      <w:r w:rsidRPr="0076575F">
        <w:rPr>
          <w:rFonts w:ascii="Times New Roman" w:hAnsi="Times New Roman" w:cs="Times New Roman"/>
          <w:color w:val="auto"/>
          <w:sz w:val="32"/>
          <w:szCs w:val="32"/>
        </w:rPr>
        <w:t>High-Use Federal Recreation Sites or Federal Economic Generators</w:t>
      </w:r>
      <w:bookmarkEnd w:id="6"/>
    </w:p>
    <w:p w14:paraId="10624843" w14:textId="111C8EB3" w:rsidR="00143636" w:rsidRDefault="003C5E72" w:rsidP="000040B4">
      <w:pPr>
        <w:pStyle w:val="NoSpacing"/>
        <w:spacing w:after="200" w:line="276" w:lineRule="auto"/>
        <w:jc w:val="both"/>
        <w:rPr>
          <w:rFonts w:ascii="Times New Roman" w:hAnsi="Times New Roman" w:cs="Times New Roman"/>
          <w:sz w:val="24"/>
          <w:szCs w:val="24"/>
        </w:rPr>
      </w:pPr>
      <w:r w:rsidRPr="00D14B44">
        <w:rPr>
          <w:rFonts w:ascii="Times New Roman" w:hAnsi="Times New Roman" w:cs="Times New Roman"/>
          <w:sz w:val="24"/>
          <w:szCs w:val="24"/>
        </w:rPr>
        <w:t>Within the performance-based program requirements in 23 U</w:t>
      </w:r>
      <w:r>
        <w:rPr>
          <w:rFonts w:ascii="Times New Roman" w:hAnsi="Times New Roman" w:cs="Times New Roman"/>
          <w:sz w:val="24"/>
          <w:szCs w:val="24"/>
        </w:rPr>
        <w:t>.</w:t>
      </w:r>
      <w:r w:rsidRPr="00D14B44">
        <w:rPr>
          <w:rFonts w:ascii="Times New Roman" w:hAnsi="Times New Roman" w:cs="Times New Roman"/>
          <w:sz w:val="24"/>
          <w:szCs w:val="24"/>
        </w:rPr>
        <w:t>S</w:t>
      </w:r>
      <w:r>
        <w:rPr>
          <w:rFonts w:ascii="Times New Roman" w:hAnsi="Times New Roman" w:cs="Times New Roman"/>
          <w:sz w:val="24"/>
          <w:szCs w:val="24"/>
        </w:rPr>
        <w:t>.</w:t>
      </w:r>
      <w:r w:rsidRPr="00D14B44">
        <w:rPr>
          <w:rFonts w:ascii="Times New Roman" w:hAnsi="Times New Roman" w:cs="Times New Roman"/>
          <w:sz w:val="24"/>
          <w:szCs w:val="24"/>
        </w:rPr>
        <w:t>C</w:t>
      </w:r>
      <w:r>
        <w:rPr>
          <w:rFonts w:ascii="Times New Roman" w:hAnsi="Times New Roman" w:cs="Times New Roman"/>
          <w:sz w:val="24"/>
          <w:szCs w:val="24"/>
        </w:rPr>
        <w:t>.</w:t>
      </w:r>
      <w:r w:rsidRPr="00D14B44">
        <w:rPr>
          <w:rFonts w:ascii="Times New Roman" w:hAnsi="Times New Roman" w:cs="Times New Roman"/>
          <w:sz w:val="24"/>
          <w:szCs w:val="24"/>
        </w:rPr>
        <w:t xml:space="preserve"> 203, and retained in </w:t>
      </w:r>
      <w:r>
        <w:rPr>
          <w:rFonts w:ascii="Times New Roman" w:hAnsi="Times New Roman" w:cs="Times New Roman"/>
          <w:sz w:val="24"/>
          <w:szCs w:val="24"/>
        </w:rPr>
        <w:t xml:space="preserve">the </w:t>
      </w:r>
      <w:r w:rsidR="007F484B">
        <w:rPr>
          <w:rFonts w:ascii="Times New Roman" w:hAnsi="Times New Roman" w:cs="Times New Roman"/>
          <w:sz w:val="24"/>
          <w:szCs w:val="24"/>
        </w:rPr>
        <w:t>IIJA</w:t>
      </w:r>
      <w:r w:rsidRPr="00D14B44">
        <w:rPr>
          <w:rFonts w:ascii="Times New Roman" w:hAnsi="Times New Roman" w:cs="Times New Roman"/>
          <w:sz w:val="24"/>
          <w:szCs w:val="24"/>
        </w:rPr>
        <w:t xml:space="preserve">, transportation </w:t>
      </w:r>
      <w:bookmarkStart w:id="7" w:name="_Hlk95222169"/>
      <w:r w:rsidRPr="00D14B44">
        <w:rPr>
          <w:rFonts w:ascii="Times New Roman" w:hAnsi="Times New Roman" w:cs="Times New Roman"/>
          <w:sz w:val="24"/>
          <w:szCs w:val="24"/>
        </w:rPr>
        <w:t xml:space="preserve">access to </w:t>
      </w:r>
      <w:bookmarkStart w:id="8" w:name="_Hlk94199358"/>
      <w:r w:rsidR="00227945">
        <w:rPr>
          <w:rFonts w:ascii="Times New Roman" w:hAnsi="Times New Roman" w:cs="Times New Roman"/>
          <w:sz w:val="24"/>
          <w:szCs w:val="24"/>
        </w:rPr>
        <w:t>high-use Federal recreation sites or Federal economic generators (</w:t>
      </w:r>
      <w:r w:rsidR="00D87D45">
        <w:rPr>
          <w:rFonts w:ascii="Times New Roman" w:hAnsi="Times New Roman" w:cs="Times New Roman"/>
          <w:sz w:val="24"/>
          <w:szCs w:val="24"/>
        </w:rPr>
        <w:t>HUR-EG</w:t>
      </w:r>
      <w:r w:rsidR="00227945">
        <w:rPr>
          <w:rFonts w:ascii="Times New Roman" w:hAnsi="Times New Roman" w:cs="Times New Roman"/>
          <w:sz w:val="24"/>
          <w:szCs w:val="24"/>
        </w:rPr>
        <w:t>)</w:t>
      </w:r>
      <w:r w:rsidRPr="00BF046D">
        <w:rPr>
          <w:rFonts w:ascii="Times New Roman" w:hAnsi="Times New Roman" w:cs="Times New Roman"/>
          <w:sz w:val="24"/>
          <w:szCs w:val="24"/>
        </w:rPr>
        <w:t xml:space="preserve"> </w:t>
      </w:r>
      <w:bookmarkEnd w:id="7"/>
      <w:bookmarkEnd w:id="8"/>
      <w:r w:rsidRPr="00BF046D">
        <w:rPr>
          <w:rFonts w:ascii="Times New Roman" w:hAnsi="Times New Roman" w:cs="Times New Roman"/>
          <w:sz w:val="24"/>
          <w:szCs w:val="24"/>
        </w:rPr>
        <w:t xml:space="preserve">is a key consideration.  Due to constrained funding, a performance management model was enacted under </w:t>
      </w:r>
      <w:r>
        <w:rPr>
          <w:rFonts w:ascii="Times New Roman" w:hAnsi="Times New Roman" w:cs="Times New Roman"/>
          <w:sz w:val="24"/>
          <w:szCs w:val="24"/>
        </w:rPr>
        <w:t xml:space="preserve">the </w:t>
      </w:r>
      <w:r w:rsidRPr="000D7103">
        <w:rPr>
          <w:rFonts w:ascii="Times New Roman" w:hAnsi="Times New Roman" w:cs="Times New Roman"/>
          <w:sz w:val="24"/>
          <w:szCs w:val="24"/>
        </w:rPr>
        <w:t xml:space="preserve">Moving Ahead for Progress in the 21st Century </w:t>
      </w:r>
      <w:r>
        <w:rPr>
          <w:rFonts w:ascii="Times New Roman" w:hAnsi="Times New Roman" w:cs="Times New Roman"/>
          <w:sz w:val="24"/>
          <w:szCs w:val="24"/>
        </w:rPr>
        <w:t>Act (</w:t>
      </w:r>
      <w:r w:rsidRPr="00BF046D">
        <w:rPr>
          <w:rFonts w:ascii="Times New Roman" w:hAnsi="Times New Roman" w:cs="Times New Roman"/>
          <w:sz w:val="24"/>
          <w:szCs w:val="24"/>
        </w:rPr>
        <w:t>MAP-21</w:t>
      </w:r>
      <w:r>
        <w:rPr>
          <w:rFonts w:ascii="Times New Roman" w:hAnsi="Times New Roman" w:cs="Times New Roman"/>
          <w:sz w:val="24"/>
          <w:szCs w:val="24"/>
        </w:rPr>
        <w:t>)</w:t>
      </w:r>
      <w:r w:rsidRPr="00BF046D">
        <w:rPr>
          <w:rFonts w:ascii="Times New Roman" w:hAnsi="Times New Roman" w:cs="Times New Roman"/>
          <w:sz w:val="24"/>
          <w:szCs w:val="24"/>
        </w:rPr>
        <w:t xml:space="preserve"> and purposefully highlighted the subset of routes that support access to these key locations.  During both MAP-21 and </w:t>
      </w:r>
      <w:r>
        <w:rPr>
          <w:rFonts w:ascii="Times New Roman" w:hAnsi="Times New Roman" w:cs="Times New Roman"/>
          <w:sz w:val="24"/>
          <w:szCs w:val="24"/>
        </w:rPr>
        <w:t xml:space="preserve">the </w:t>
      </w:r>
      <w:r w:rsidRPr="000D7103">
        <w:rPr>
          <w:rFonts w:ascii="Times New Roman" w:hAnsi="Times New Roman" w:cs="Times New Roman"/>
          <w:sz w:val="24"/>
          <w:szCs w:val="24"/>
        </w:rPr>
        <w:t xml:space="preserve">Fixing America's Surface Transportation Act </w:t>
      </w:r>
      <w:r>
        <w:rPr>
          <w:rFonts w:ascii="Times New Roman" w:hAnsi="Times New Roman" w:cs="Times New Roman"/>
          <w:sz w:val="24"/>
          <w:szCs w:val="24"/>
        </w:rPr>
        <w:t>(</w:t>
      </w:r>
      <w:r w:rsidRPr="00BF046D">
        <w:rPr>
          <w:rFonts w:ascii="Times New Roman" w:hAnsi="Times New Roman" w:cs="Times New Roman"/>
          <w:sz w:val="24"/>
          <w:szCs w:val="24"/>
        </w:rPr>
        <w:t>FAST Act</w:t>
      </w:r>
      <w:r>
        <w:rPr>
          <w:rFonts w:ascii="Times New Roman" w:hAnsi="Times New Roman" w:cs="Times New Roman"/>
          <w:sz w:val="24"/>
          <w:szCs w:val="24"/>
        </w:rPr>
        <w:t>)</w:t>
      </w:r>
      <w:r w:rsidRPr="00BF046D">
        <w:rPr>
          <w:rFonts w:ascii="Times New Roman" w:hAnsi="Times New Roman" w:cs="Times New Roman"/>
          <w:sz w:val="24"/>
          <w:szCs w:val="24"/>
        </w:rPr>
        <w:t xml:space="preserve"> authorizations, FHWA has yielded in large part to FLMAs to interpret and manage this </w:t>
      </w:r>
      <w:r w:rsidR="0085648F">
        <w:rPr>
          <w:rFonts w:ascii="Times New Roman" w:hAnsi="Times New Roman" w:cs="Times New Roman"/>
          <w:sz w:val="24"/>
          <w:szCs w:val="24"/>
        </w:rPr>
        <w:t>factor</w:t>
      </w:r>
      <w:r w:rsidRPr="00BF046D">
        <w:rPr>
          <w:rFonts w:ascii="Times New Roman" w:hAnsi="Times New Roman" w:cs="Times New Roman"/>
          <w:sz w:val="24"/>
          <w:szCs w:val="24"/>
        </w:rPr>
        <w:t xml:space="preserve">. Now that newer </w:t>
      </w:r>
      <w:r>
        <w:rPr>
          <w:rFonts w:ascii="Times New Roman" w:hAnsi="Times New Roman" w:cs="Times New Roman"/>
          <w:sz w:val="24"/>
          <w:szCs w:val="24"/>
        </w:rPr>
        <w:t>FLMA</w:t>
      </w:r>
      <w:r w:rsidRPr="00BF046D">
        <w:rPr>
          <w:rFonts w:ascii="Times New Roman" w:hAnsi="Times New Roman" w:cs="Times New Roman"/>
          <w:sz w:val="24"/>
          <w:szCs w:val="24"/>
        </w:rPr>
        <w:t>s have had an opportunity to identify their FLTP facility inventory and begin co</w:t>
      </w:r>
      <w:r w:rsidRPr="00367030">
        <w:rPr>
          <w:rFonts w:ascii="Times New Roman" w:hAnsi="Times New Roman" w:cs="Times New Roman"/>
          <w:sz w:val="24"/>
          <w:szCs w:val="24"/>
        </w:rPr>
        <w:t xml:space="preserve">ndition assessments, </w:t>
      </w:r>
      <w:r>
        <w:rPr>
          <w:rFonts w:ascii="Times New Roman" w:hAnsi="Times New Roman" w:cs="Times New Roman"/>
          <w:sz w:val="24"/>
          <w:szCs w:val="24"/>
        </w:rPr>
        <w:t>where</w:t>
      </w:r>
      <w:r w:rsidRPr="00367030">
        <w:rPr>
          <w:rFonts w:ascii="Times New Roman" w:hAnsi="Times New Roman" w:cs="Times New Roman"/>
          <w:sz w:val="24"/>
          <w:szCs w:val="24"/>
        </w:rPr>
        <w:t xml:space="preserve"> all </w:t>
      </w:r>
      <w:r>
        <w:rPr>
          <w:rFonts w:ascii="Times New Roman" w:hAnsi="Times New Roman" w:cs="Times New Roman"/>
          <w:sz w:val="24"/>
          <w:szCs w:val="24"/>
        </w:rPr>
        <w:t>FLMAs</w:t>
      </w:r>
      <w:r w:rsidRPr="00367030">
        <w:rPr>
          <w:rFonts w:ascii="Times New Roman" w:hAnsi="Times New Roman" w:cs="Times New Roman"/>
          <w:sz w:val="24"/>
          <w:szCs w:val="24"/>
        </w:rPr>
        <w:t xml:space="preserve"> should be in a similar place programmatically, </w:t>
      </w:r>
      <w:r w:rsidR="0036164A">
        <w:rPr>
          <w:rFonts w:ascii="Times New Roman" w:hAnsi="Times New Roman" w:cs="Times New Roman"/>
          <w:sz w:val="24"/>
          <w:szCs w:val="24"/>
        </w:rPr>
        <w:t xml:space="preserve">the </w:t>
      </w:r>
      <w:r w:rsidRPr="00367030">
        <w:rPr>
          <w:rFonts w:ascii="Times New Roman" w:hAnsi="Times New Roman" w:cs="Times New Roman"/>
          <w:sz w:val="24"/>
          <w:szCs w:val="24"/>
        </w:rPr>
        <w:t>FLH</w:t>
      </w:r>
      <w:r w:rsidR="00522B2E">
        <w:rPr>
          <w:rFonts w:ascii="Times New Roman" w:hAnsi="Times New Roman" w:cs="Times New Roman"/>
          <w:sz w:val="24"/>
          <w:szCs w:val="24"/>
        </w:rPr>
        <w:t>’s</w:t>
      </w:r>
      <w:r w:rsidRPr="00367030">
        <w:rPr>
          <w:rFonts w:ascii="Times New Roman" w:hAnsi="Times New Roman" w:cs="Times New Roman"/>
          <w:sz w:val="24"/>
          <w:szCs w:val="24"/>
        </w:rPr>
        <w:t xml:space="preserve"> attention is now focus</w:t>
      </w:r>
      <w:r>
        <w:rPr>
          <w:rFonts w:ascii="Times New Roman" w:hAnsi="Times New Roman" w:cs="Times New Roman"/>
          <w:sz w:val="24"/>
          <w:szCs w:val="24"/>
        </w:rPr>
        <w:t>ing</w:t>
      </w:r>
      <w:r w:rsidRPr="00367030">
        <w:rPr>
          <w:rFonts w:ascii="Times New Roman" w:hAnsi="Times New Roman" w:cs="Times New Roman"/>
          <w:sz w:val="24"/>
          <w:szCs w:val="24"/>
        </w:rPr>
        <w:t xml:space="preserve"> more closely on this </w:t>
      </w:r>
      <w:r w:rsidR="00AF7B54">
        <w:rPr>
          <w:rFonts w:ascii="Times New Roman" w:hAnsi="Times New Roman" w:cs="Times New Roman"/>
          <w:sz w:val="24"/>
          <w:szCs w:val="24"/>
        </w:rPr>
        <w:t>provision in law</w:t>
      </w:r>
      <w:r w:rsidRPr="00B53C84">
        <w:rPr>
          <w:rFonts w:ascii="Times New Roman" w:hAnsi="Times New Roman" w:cs="Times New Roman"/>
          <w:sz w:val="24"/>
          <w:szCs w:val="24"/>
        </w:rPr>
        <w:t xml:space="preserve">.  </w:t>
      </w:r>
      <w:bookmarkStart w:id="9" w:name="_Hlk95222007"/>
    </w:p>
    <w:p w14:paraId="4475CBF0" w14:textId="5DA0D92C" w:rsidR="00BF5A01" w:rsidRDefault="00143636" w:rsidP="00840EF0">
      <w:pPr>
        <w:pStyle w:val="NoSpacing"/>
        <w:spacing w:after="200" w:line="276" w:lineRule="auto"/>
        <w:jc w:val="both"/>
        <w:rPr>
          <w:rFonts w:ascii="Times New Roman" w:hAnsi="Times New Roman" w:cs="Times New Roman"/>
          <w:sz w:val="32"/>
          <w:szCs w:val="32"/>
        </w:rPr>
      </w:pPr>
      <w:r w:rsidRPr="00EF59F1">
        <w:rPr>
          <w:rFonts w:ascii="Times New Roman" w:hAnsi="Times New Roman" w:cs="Times New Roman"/>
          <w:sz w:val="24"/>
          <w:szCs w:val="24"/>
        </w:rPr>
        <w:t xml:space="preserve">Through separate </w:t>
      </w:r>
      <w:r w:rsidR="00884725">
        <w:rPr>
          <w:rFonts w:ascii="Times New Roman" w:hAnsi="Times New Roman" w:cs="Times New Roman"/>
          <w:sz w:val="24"/>
          <w:szCs w:val="24"/>
        </w:rPr>
        <w:t>HFL</w:t>
      </w:r>
      <w:r w:rsidR="00884725" w:rsidRPr="00EF59F1">
        <w:rPr>
          <w:rFonts w:ascii="Times New Roman" w:hAnsi="Times New Roman" w:cs="Times New Roman"/>
          <w:sz w:val="24"/>
          <w:szCs w:val="24"/>
        </w:rPr>
        <w:t xml:space="preserve"> </w:t>
      </w:r>
      <w:r w:rsidR="0019495B">
        <w:rPr>
          <w:rFonts w:ascii="Times New Roman" w:hAnsi="Times New Roman" w:cs="Times New Roman"/>
          <w:sz w:val="24"/>
          <w:szCs w:val="24"/>
        </w:rPr>
        <w:t>correspondence</w:t>
      </w:r>
      <w:r w:rsidR="0019495B" w:rsidRPr="00EF59F1">
        <w:rPr>
          <w:rFonts w:ascii="Times New Roman" w:hAnsi="Times New Roman" w:cs="Times New Roman"/>
          <w:sz w:val="24"/>
          <w:szCs w:val="24"/>
        </w:rPr>
        <w:t xml:space="preserve"> </w:t>
      </w:r>
      <w:r w:rsidRPr="00EF59F1">
        <w:rPr>
          <w:rFonts w:ascii="Times New Roman" w:hAnsi="Times New Roman" w:cs="Times New Roman"/>
          <w:sz w:val="24"/>
          <w:szCs w:val="24"/>
        </w:rPr>
        <w:t xml:space="preserve">focusing solely on FLMA’s </w:t>
      </w:r>
      <w:r w:rsidR="002929DE">
        <w:rPr>
          <w:rFonts w:ascii="Times New Roman" w:hAnsi="Times New Roman" w:cs="Times New Roman"/>
          <w:sz w:val="24"/>
          <w:szCs w:val="24"/>
        </w:rPr>
        <w:t>Federal Lands Transportation Facility Inventory (</w:t>
      </w:r>
      <w:r w:rsidRPr="00EF59F1">
        <w:rPr>
          <w:rFonts w:ascii="Times New Roman" w:hAnsi="Times New Roman" w:cs="Times New Roman"/>
          <w:sz w:val="24"/>
          <w:szCs w:val="24"/>
        </w:rPr>
        <w:t>FLTFI</w:t>
      </w:r>
      <w:r w:rsidR="002929DE">
        <w:rPr>
          <w:rFonts w:ascii="Times New Roman" w:hAnsi="Times New Roman" w:cs="Times New Roman"/>
          <w:sz w:val="24"/>
          <w:szCs w:val="24"/>
        </w:rPr>
        <w:t>)</w:t>
      </w:r>
      <w:r w:rsidR="003D0F1B" w:rsidRPr="00EF59F1">
        <w:rPr>
          <w:rFonts w:ascii="Times New Roman" w:hAnsi="Times New Roman" w:cs="Times New Roman"/>
          <w:sz w:val="24"/>
          <w:szCs w:val="24"/>
        </w:rPr>
        <w:t xml:space="preserve">, </w:t>
      </w:r>
      <w:r w:rsidR="00884725">
        <w:rPr>
          <w:rFonts w:ascii="Times New Roman" w:hAnsi="Times New Roman" w:cs="Times New Roman"/>
          <w:sz w:val="24"/>
          <w:szCs w:val="24"/>
        </w:rPr>
        <w:t>HFL</w:t>
      </w:r>
      <w:r w:rsidR="00884725" w:rsidRPr="00EF59F1">
        <w:rPr>
          <w:rFonts w:ascii="Times New Roman" w:hAnsi="Times New Roman" w:cs="Times New Roman"/>
          <w:sz w:val="24"/>
          <w:szCs w:val="24"/>
        </w:rPr>
        <w:t xml:space="preserve"> </w:t>
      </w:r>
      <w:r w:rsidR="00ED41D8" w:rsidRPr="00EF59F1">
        <w:rPr>
          <w:rFonts w:ascii="Times New Roman" w:hAnsi="Times New Roman" w:cs="Times New Roman"/>
          <w:sz w:val="24"/>
          <w:szCs w:val="24"/>
        </w:rPr>
        <w:t xml:space="preserve">will </w:t>
      </w:r>
      <w:r w:rsidR="00FF48AD" w:rsidRPr="00EF59F1">
        <w:rPr>
          <w:rFonts w:ascii="Times New Roman" w:hAnsi="Times New Roman" w:cs="Times New Roman"/>
          <w:sz w:val="24"/>
          <w:szCs w:val="24"/>
        </w:rPr>
        <w:t>request a refreshed</w:t>
      </w:r>
      <w:r w:rsidR="003D0F1B" w:rsidRPr="00EF59F1">
        <w:rPr>
          <w:rFonts w:ascii="Times New Roman" w:hAnsi="Times New Roman" w:cs="Times New Roman"/>
          <w:sz w:val="24"/>
          <w:szCs w:val="24"/>
        </w:rPr>
        <w:t>, detailed</w:t>
      </w:r>
      <w:r w:rsidR="00FF48AD" w:rsidRPr="00EF59F1">
        <w:rPr>
          <w:rFonts w:ascii="Times New Roman" w:hAnsi="Times New Roman" w:cs="Times New Roman"/>
          <w:sz w:val="24"/>
          <w:szCs w:val="24"/>
        </w:rPr>
        <w:t xml:space="preserve"> </w:t>
      </w:r>
      <w:r w:rsidR="003D0F1B" w:rsidRPr="00EF59F1">
        <w:rPr>
          <w:rFonts w:ascii="Times New Roman" w:hAnsi="Times New Roman" w:cs="Times New Roman"/>
          <w:sz w:val="24"/>
          <w:szCs w:val="24"/>
        </w:rPr>
        <w:t xml:space="preserve">inventory </w:t>
      </w:r>
      <w:r w:rsidR="00FF48AD" w:rsidRPr="00EF59F1">
        <w:rPr>
          <w:rFonts w:ascii="Times New Roman" w:hAnsi="Times New Roman" w:cs="Times New Roman"/>
          <w:sz w:val="24"/>
          <w:szCs w:val="24"/>
        </w:rPr>
        <w:t xml:space="preserve">that includes </w:t>
      </w:r>
      <w:r w:rsidRPr="00EF59F1">
        <w:rPr>
          <w:rFonts w:ascii="Times New Roman" w:hAnsi="Times New Roman" w:cs="Times New Roman"/>
          <w:sz w:val="24"/>
          <w:szCs w:val="24"/>
        </w:rPr>
        <w:t xml:space="preserve">the location and condition </w:t>
      </w:r>
      <w:r w:rsidR="00FF48AD" w:rsidRPr="00EF59F1">
        <w:rPr>
          <w:rFonts w:ascii="Times New Roman" w:hAnsi="Times New Roman" w:cs="Times New Roman"/>
          <w:sz w:val="24"/>
          <w:szCs w:val="24"/>
        </w:rPr>
        <w:t xml:space="preserve">of </w:t>
      </w:r>
      <w:r w:rsidR="003D0F1B" w:rsidRPr="00EF59F1">
        <w:rPr>
          <w:rFonts w:ascii="Times New Roman" w:hAnsi="Times New Roman" w:cs="Times New Roman"/>
          <w:sz w:val="24"/>
          <w:szCs w:val="24"/>
        </w:rPr>
        <w:t xml:space="preserve">all </w:t>
      </w:r>
      <w:r w:rsidR="00FF48AD" w:rsidRPr="00EF59F1">
        <w:rPr>
          <w:rFonts w:ascii="Times New Roman" w:hAnsi="Times New Roman" w:cs="Times New Roman"/>
          <w:sz w:val="24"/>
          <w:szCs w:val="24"/>
        </w:rPr>
        <w:t xml:space="preserve">assets designated as providing access to </w:t>
      </w:r>
      <w:r w:rsidR="00ED41D8" w:rsidRPr="00EF59F1">
        <w:rPr>
          <w:rFonts w:ascii="Times New Roman" w:hAnsi="Times New Roman" w:cs="Times New Roman"/>
          <w:sz w:val="24"/>
          <w:szCs w:val="24"/>
        </w:rPr>
        <w:t>HUR-EG</w:t>
      </w:r>
      <w:r w:rsidR="00FF48AD" w:rsidRPr="00EF59F1">
        <w:rPr>
          <w:rFonts w:ascii="Times New Roman" w:hAnsi="Times New Roman" w:cs="Times New Roman"/>
          <w:sz w:val="24"/>
          <w:szCs w:val="24"/>
        </w:rPr>
        <w:t xml:space="preserve">.  This action will </w:t>
      </w:r>
      <w:r w:rsidRPr="00EF59F1">
        <w:rPr>
          <w:rFonts w:ascii="Times New Roman" w:hAnsi="Times New Roman" w:cs="Times New Roman"/>
          <w:sz w:val="24"/>
          <w:szCs w:val="24"/>
        </w:rPr>
        <w:t xml:space="preserve">inform </w:t>
      </w:r>
      <w:r w:rsidR="00F031DC" w:rsidRPr="00EF59F1">
        <w:rPr>
          <w:rFonts w:ascii="Times New Roman" w:hAnsi="Times New Roman" w:cs="Times New Roman"/>
          <w:sz w:val="24"/>
          <w:szCs w:val="24"/>
        </w:rPr>
        <w:t xml:space="preserve">the investment strategy </w:t>
      </w:r>
      <w:r w:rsidRPr="00EF59F1">
        <w:rPr>
          <w:rFonts w:ascii="Times New Roman" w:hAnsi="Times New Roman" w:cs="Times New Roman"/>
          <w:sz w:val="24"/>
          <w:szCs w:val="24"/>
        </w:rPr>
        <w:t>requirement</w:t>
      </w:r>
      <w:r w:rsidR="00A1285F" w:rsidRPr="00EF59F1">
        <w:rPr>
          <w:rFonts w:ascii="Times New Roman" w:hAnsi="Times New Roman" w:cs="Times New Roman"/>
          <w:sz w:val="24"/>
          <w:szCs w:val="24"/>
        </w:rPr>
        <w:t>s</w:t>
      </w:r>
      <w:r w:rsidRPr="00EF59F1">
        <w:rPr>
          <w:rFonts w:ascii="Times New Roman" w:hAnsi="Times New Roman" w:cs="Times New Roman"/>
          <w:sz w:val="24"/>
          <w:szCs w:val="24"/>
        </w:rPr>
        <w:t xml:space="preserve"> </w:t>
      </w:r>
      <w:r w:rsidR="00F031DC" w:rsidRPr="00EF59F1">
        <w:rPr>
          <w:rFonts w:ascii="Times New Roman" w:hAnsi="Times New Roman" w:cs="Times New Roman"/>
          <w:sz w:val="24"/>
          <w:szCs w:val="24"/>
        </w:rPr>
        <w:t xml:space="preserve">outlined in this document which will </w:t>
      </w:r>
      <w:r w:rsidRPr="00EF59F1">
        <w:rPr>
          <w:rFonts w:ascii="Times New Roman" w:hAnsi="Times New Roman" w:cs="Times New Roman"/>
          <w:sz w:val="24"/>
          <w:szCs w:val="24"/>
        </w:rPr>
        <w:t xml:space="preserve">result in </w:t>
      </w:r>
      <w:r w:rsidR="00FF48AD" w:rsidRPr="00EF59F1">
        <w:rPr>
          <w:rFonts w:ascii="Times New Roman" w:hAnsi="Times New Roman" w:cs="Times New Roman"/>
          <w:sz w:val="24"/>
          <w:szCs w:val="24"/>
        </w:rPr>
        <w:t>a more consistent framework for reporting and target setting across FLMAs to strengthen their collective performance management story.</w:t>
      </w:r>
      <w:r w:rsidR="00FF48AD" w:rsidRPr="00EF59F1" w:rsidDel="00FF48AD">
        <w:rPr>
          <w:rFonts w:ascii="Times New Roman" w:hAnsi="Times New Roman" w:cs="Times New Roman"/>
          <w:sz w:val="24"/>
          <w:szCs w:val="24"/>
        </w:rPr>
        <w:t xml:space="preserve"> </w:t>
      </w:r>
      <w:r w:rsidR="003D0F1B" w:rsidRPr="00EF59F1">
        <w:rPr>
          <w:rFonts w:ascii="Times New Roman" w:hAnsi="Times New Roman" w:cs="Times New Roman"/>
          <w:sz w:val="24"/>
          <w:szCs w:val="24"/>
        </w:rPr>
        <w:t xml:space="preserve"> The related requirements below are intended to understand FLMA’s summary level data and targets as it relates to program performance across the life of IIJA.</w:t>
      </w:r>
      <w:r w:rsidR="003D0F1B">
        <w:rPr>
          <w:rFonts w:ascii="Times New Roman" w:hAnsi="Times New Roman" w:cs="Times New Roman"/>
          <w:sz w:val="24"/>
          <w:szCs w:val="24"/>
        </w:rPr>
        <w:t xml:space="preserve"> </w:t>
      </w:r>
      <w:bookmarkStart w:id="10" w:name="_Hlk82622290"/>
      <w:bookmarkEnd w:id="9"/>
    </w:p>
    <w:p w14:paraId="3C098459" w14:textId="3F4E934D" w:rsidR="006F5E33" w:rsidRPr="00BF5A01" w:rsidRDefault="006F5E33" w:rsidP="00BF5A01">
      <w:pPr>
        <w:pStyle w:val="Heading1"/>
        <w:tabs>
          <w:tab w:val="left" w:pos="720"/>
        </w:tabs>
        <w:spacing w:before="0" w:after="200"/>
        <w:rPr>
          <w:rFonts w:ascii="Times New Roman" w:hAnsi="Times New Roman" w:cs="Times New Roman"/>
          <w:color w:val="auto"/>
          <w:sz w:val="32"/>
          <w:szCs w:val="32"/>
        </w:rPr>
      </w:pPr>
      <w:bookmarkStart w:id="11" w:name="_Toc103684611"/>
      <w:r w:rsidRPr="00BF5A01">
        <w:rPr>
          <w:rFonts w:ascii="Times New Roman" w:hAnsi="Times New Roman" w:cs="Times New Roman"/>
          <w:color w:val="auto"/>
          <w:sz w:val="32"/>
          <w:szCs w:val="32"/>
        </w:rPr>
        <w:t>Secretary of Transportation’s Performance Goal Areas</w:t>
      </w:r>
      <w:bookmarkEnd w:id="11"/>
    </w:p>
    <w:bookmarkEnd w:id="10"/>
    <w:p w14:paraId="542724C5" w14:textId="6A7C1E1F" w:rsidR="00917FEF" w:rsidRPr="00EB1936" w:rsidRDefault="006F5E33" w:rsidP="00EB1936">
      <w:pPr>
        <w:pStyle w:val="NoSpacing"/>
        <w:numPr>
          <w:ilvl w:val="0"/>
          <w:numId w:val="16"/>
        </w:numPr>
        <w:spacing w:after="200" w:line="276" w:lineRule="auto"/>
        <w:jc w:val="both"/>
        <w:rPr>
          <w:rFonts w:ascii="Times New Roman" w:hAnsi="Times New Roman" w:cs="Times New Roman"/>
          <w:sz w:val="24"/>
          <w:szCs w:val="24"/>
        </w:rPr>
      </w:pPr>
      <w:r w:rsidRPr="00EB1936">
        <w:rPr>
          <w:rFonts w:ascii="Times New Roman" w:hAnsi="Times New Roman" w:cs="Times New Roman"/>
          <w:sz w:val="24"/>
          <w:szCs w:val="24"/>
        </w:rPr>
        <w:t>State of Good Repair</w:t>
      </w:r>
      <w:r w:rsidR="0043165F" w:rsidRPr="00EB1936">
        <w:rPr>
          <w:rFonts w:ascii="Times New Roman" w:hAnsi="Times New Roman" w:cs="Times New Roman"/>
          <w:sz w:val="24"/>
          <w:szCs w:val="24"/>
        </w:rPr>
        <w:t xml:space="preserve"> of Transportation Facilities</w:t>
      </w:r>
      <w:r w:rsidR="00041118">
        <w:rPr>
          <w:rFonts w:ascii="Times New Roman" w:hAnsi="Times New Roman" w:cs="Times New Roman"/>
          <w:sz w:val="24"/>
          <w:szCs w:val="24"/>
        </w:rPr>
        <w:t xml:space="preserve">. </w:t>
      </w:r>
      <w:r w:rsidR="00DD784F">
        <w:rPr>
          <w:rFonts w:ascii="Times New Roman" w:hAnsi="Times New Roman" w:cs="Times New Roman"/>
          <w:sz w:val="24"/>
          <w:szCs w:val="24"/>
        </w:rPr>
        <w:t>The c</w:t>
      </w:r>
      <w:r w:rsidR="00DD784F" w:rsidRPr="00DD784F">
        <w:rPr>
          <w:rFonts w:ascii="Times New Roman" w:hAnsi="Times New Roman" w:cs="Times New Roman"/>
          <w:sz w:val="24"/>
          <w:szCs w:val="24"/>
        </w:rPr>
        <w:t xml:space="preserve">ondition </w:t>
      </w:r>
      <w:r w:rsidR="00DD784F">
        <w:rPr>
          <w:rFonts w:ascii="Times New Roman" w:hAnsi="Times New Roman" w:cs="Times New Roman"/>
          <w:sz w:val="24"/>
          <w:szCs w:val="24"/>
        </w:rPr>
        <w:t>p</w:t>
      </w:r>
      <w:r w:rsidR="00DD784F" w:rsidRPr="00DD784F">
        <w:rPr>
          <w:rFonts w:ascii="Times New Roman" w:hAnsi="Times New Roman" w:cs="Times New Roman"/>
          <w:sz w:val="24"/>
          <w:szCs w:val="24"/>
        </w:rPr>
        <w:t xml:space="preserve">erformance </w:t>
      </w:r>
      <w:r w:rsidR="00DD784F">
        <w:rPr>
          <w:rFonts w:ascii="Times New Roman" w:hAnsi="Times New Roman" w:cs="Times New Roman"/>
          <w:sz w:val="24"/>
          <w:szCs w:val="24"/>
        </w:rPr>
        <w:t>r</w:t>
      </w:r>
      <w:r w:rsidR="00DD784F" w:rsidRPr="00DD784F">
        <w:rPr>
          <w:rFonts w:ascii="Times New Roman" w:hAnsi="Times New Roman" w:cs="Times New Roman"/>
          <w:sz w:val="24"/>
          <w:szCs w:val="24"/>
        </w:rPr>
        <w:t xml:space="preserve">eporting </w:t>
      </w:r>
      <w:r w:rsidR="00DD784F">
        <w:rPr>
          <w:rFonts w:ascii="Times New Roman" w:hAnsi="Times New Roman" w:cs="Times New Roman"/>
          <w:sz w:val="24"/>
          <w:szCs w:val="24"/>
        </w:rPr>
        <w:t>t</w:t>
      </w:r>
      <w:r w:rsidR="00DD784F" w:rsidRPr="00DD784F">
        <w:rPr>
          <w:rFonts w:ascii="Times New Roman" w:hAnsi="Times New Roman" w:cs="Times New Roman"/>
          <w:sz w:val="24"/>
          <w:szCs w:val="24"/>
        </w:rPr>
        <w:t>emplate</w:t>
      </w:r>
      <w:r w:rsidR="00DD784F">
        <w:rPr>
          <w:rFonts w:ascii="Times New Roman" w:hAnsi="Times New Roman" w:cs="Times New Roman"/>
          <w:sz w:val="24"/>
          <w:szCs w:val="24"/>
        </w:rPr>
        <w:t xml:space="preserve"> </w:t>
      </w:r>
      <w:r w:rsidR="00DD784F" w:rsidRPr="00DD784F">
        <w:rPr>
          <w:rFonts w:ascii="Times New Roman" w:hAnsi="Times New Roman" w:cs="Times New Roman"/>
          <w:sz w:val="24"/>
          <w:szCs w:val="24"/>
        </w:rPr>
        <w:t xml:space="preserve">is found in </w:t>
      </w:r>
      <w:r w:rsidR="00DD784F">
        <w:rPr>
          <w:rFonts w:ascii="Times New Roman" w:hAnsi="Times New Roman" w:cs="Times New Roman"/>
          <w:sz w:val="24"/>
          <w:szCs w:val="24"/>
        </w:rPr>
        <w:t>A</w:t>
      </w:r>
      <w:r w:rsidR="00041118">
        <w:rPr>
          <w:rFonts w:ascii="Times New Roman" w:hAnsi="Times New Roman" w:cs="Times New Roman"/>
          <w:sz w:val="24"/>
          <w:szCs w:val="24"/>
        </w:rPr>
        <w:t>ppendix B</w:t>
      </w:r>
      <w:r w:rsidR="00DD784F">
        <w:rPr>
          <w:rFonts w:ascii="Times New Roman" w:hAnsi="Times New Roman" w:cs="Times New Roman"/>
          <w:sz w:val="24"/>
          <w:szCs w:val="24"/>
        </w:rPr>
        <w:t>.</w:t>
      </w:r>
      <w:r w:rsidR="00041118">
        <w:rPr>
          <w:rFonts w:ascii="Times New Roman" w:hAnsi="Times New Roman" w:cs="Times New Roman"/>
          <w:sz w:val="24"/>
          <w:szCs w:val="24"/>
        </w:rPr>
        <w:t xml:space="preserve"> </w:t>
      </w:r>
    </w:p>
    <w:p w14:paraId="488D38F7" w14:textId="6B64F9DE" w:rsidR="00A1285F" w:rsidRPr="00EB1936" w:rsidRDefault="00A1285F" w:rsidP="00EB1936">
      <w:pPr>
        <w:pStyle w:val="ListParagraph"/>
        <w:numPr>
          <w:ilvl w:val="0"/>
          <w:numId w:val="17"/>
        </w:numPr>
        <w:ind w:left="720"/>
        <w:jc w:val="both"/>
        <w:rPr>
          <w:rFonts w:ascii="Times New Roman" w:hAnsi="Times New Roman" w:cs="Times New Roman"/>
          <w:sz w:val="24"/>
          <w:szCs w:val="24"/>
        </w:rPr>
      </w:pPr>
      <w:r w:rsidRPr="00EB1936">
        <w:rPr>
          <w:rFonts w:ascii="Times New Roman" w:hAnsi="Times New Roman" w:cs="Times New Roman"/>
          <w:b/>
          <w:bCs/>
          <w:sz w:val="24"/>
          <w:szCs w:val="24"/>
        </w:rPr>
        <w:t>Roads</w:t>
      </w:r>
      <w:r w:rsidR="00EB1936" w:rsidRPr="00EB1936">
        <w:rPr>
          <w:rFonts w:ascii="Times New Roman" w:hAnsi="Times New Roman" w:cs="Times New Roman"/>
          <w:b/>
          <w:bCs/>
          <w:sz w:val="24"/>
          <w:szCs w:val="24"/>
        </w:rPr>
        <w:t>:</w:t>
      </w:r>
      <w:r w:rsidR="00EB1936">
        <w:rPr>
          <w:rFonts w:ascii="Times New Roman" w:hAnsi="Times New Roman" w:cs="Times New Roman"/>
          <w:sz w:val="24"/>
          <w:szCs w:val="24"/>
        </w:rPr>
        <w:t xml:space="preserve"> </w:t>
      </w:r>
      <w:r w:rsidR="003071BC" w:rsidRPr="00EB1936">
        <w:rPr>
          <w:rFonts w:ascii="Times New Roman" w:hAnsi="Times New Roman" w:cs="Times New Roman"/>
          <w:sz w:val="24"/>
          <w:szCs w:val="24"/>
        </w:rPr>
        <w:t xml:space="preserve">This section should address your agency’s plan to maintain a state of good repair for public roads within the FLTFI.  </w:t>
      </w:r>
      <w:r w:rsidR="00E000B5" w:rsidRPr="00EB1936">
        <w:rPr>
          <w:rFonts w:ascii="Times New Roman" w:hAnsi="Times New Roman" w:cs="Times New Roman"/>
          <w:sz w:val="24"/>
          <w:szCs w:val="24"/>
        </w:rPr>
        <w:t xml:space="preserve">Provide performance goals, </w:t>
      </w:r>
      <w:r w:rsidRPr="00EB1936">
        <w:rPr>
          <w:rFonts w:ascii="Times New Roman" w:hAnsi="Times New Roman" w:cs="Times New Roman"/>
          <w:sz w:val="24"/>
          <w:szCs w:val="24"/>
        </w:rPr>
        <w:t xml:space="preserve">condition </w:t>
      </w:r>
      <w:r w:rsidR="00E000B5" w:rsidRPr="00EB1936">
        <w:rPr>
          <w:rFonts w:ascii="Times New Roman" w:hAnsi="Times New Roman" w:cs="Times New Roman"/>
          <w:sz w:val="24"/>
          <w:szCs w:val="24"/>
        </w:rPr>
        <w:t>measures, and targets for FYs 2022 – 2026 based on authorized amounts in the IIJA</w:t>
      </w:r>
      <w:r w:rsidR="00483DEC" w:rsidRPr="00EB1936">
        <w:rPr>
          <w:rFonts w:ascii="Times New Roman" w:hAnsi="Times New Roman" w:cs="Times New Roman"/>
          <w:sz w:val="24"/>
          <w:szCs w:val="24"/>
        </w:rPr>
        <w:t xml:space="preserve"> </w:t>
      </w:r>
      <w:r w:rsidR="00E000B5" w:rsidRPr="00EB1936">
        <w:rPr>
          <w:rFonts w:ascii="Times New Roman" w:hAnsi="Times New Roman" w:cs="Times New Roman"/>
          <w:sz w:val="24"/>
          <w:szCs w:val="24"/>
        </w:rPr>
        <w:t xml:space="preserve">at a minimum for paved </w:t>
      </w:r>
      <w:r w:rsidRPr="00EB1936">
        <w:rPr>
          <w:rFonts w:ascii="Times New Roman" w:hAnsi="Times New Roman" w:cs="Times New Roman"/>
          <w:sz w:val="24"/>
          <w:szCs w:val="24"/>
        </w:rPr>
        <w:t xml:space="preserve">and unpaved </w:t>
      </w:r>
      <w:r w:rsidR="00E000B5" w:rsidRPr="00EB1936">
        <w:rPr>
          <w:rFonts w:ascii="Times New Roman" w:hAnsi="Times New Roman" w:cs="Times New Roman"/>
          <w:sz w:val="24"/>
          <w:szCs w:val="24"/>
        </w:rPr>
        <w:t xml:space="preserve">roads </w:t>
      </w:r>
      <w:r w:rsidR="007D2CE1">
        <w:rPr>
          <w:rFonts w:ascii="Times New Roman" w:hAnsi="Times New Roman" w:cs="Times New Roman"/>
          <w:sz w:val="24"/>
          <w:szCs w:val="24"/>
        </w:rPr>
        <w:t>access</w:t>
      </w:r>
      <w:r w:rsidR="004A6218">
        <w:rPr>
          <w:rFonts w:ascii="Times New Roman" w:hAnsi="Times New Roman" w:cs="Times New Roman"/>
          <w:sz w:val="24"/>
          <w:szCs w:val="24"/>
        </w:rPr>
        <w:t xml:space="preserve">ing </w:t>
      </w:r>
      <w:r w:rsidR="00E000B5" w:rsidRPr="00EB1936">
        <w:rPr>
          <w:rFonts w:ascii="Times New Roman" w:hAnsi="Times New Roman" w:cs="Times New Roman"/>
          <w:sz w:val="24"/>
          <w:szCs w:val="24"/>
        </w:rPr>
        <w:t xml:space="preserve">HUR-EG.  Agencies are not limited to </w:t>
      </w:r>
      <w:r w:rsidR="00D87D45" w:rsidRPr="00EB1936">
        <w:rPr>
          <w:rFonts w:ascii="Times New Roman" w:hAnsi="Times New Roman" w:cs="Times New Roman"/>
          <w:sz w:val="24"/>
          <w:szCs w:val="24"/>
        </w:rPr>
        <w:t xml:space="preserve">goals and </w:t>
      </w:r>
      <w:r w:rsidR="00E000B5" w:rsidRPr="00EB1936">
        <w:rPr>
          <w:rFonts w:ascii="Times New Roman" w:hAnsi="Times New Roman" w:cs="Times New Roman"/>
          <w:sz w:val="24"/>
          <w:szCs w:val="24"/>
        </w:rPr>
        <w:t>measures</w:t>
      </w:r>
      <w:r w:rsidR="00D87D45" w:rsidRPr="00EB1936">
        <w:rPr>
          <w:rFonts w:ascii="Times New Roman" w:hAnsi="Times New Roman" w:cs="Times New Roman"/>
          <w:sz w:val="24"/>
          <w:szCs w:val="24"/>
        </w:rPr>
        <w:t xml:space="preserve"> specific to HUR-EG. </w:t>
      </w:r>
      <w:r w:rsidR="001B0E3E" w:rsidRPr="00EB1936">
        <w:rPr>
          <w:rFonts w:ascii="Times New Roman" w:hAnsi="Times New Roman" w:cs="Times New Roman"/>
          <w:sz w:val="24"/>
          <w:szCs w:val="24"/>
        </w:rPr>
        <w:t>As applicable, d</w:t>
      </w:r>
      <w:r w:rsidR="00483DEC" w:rsidRPr="00EB1936">
        <w:rPr>
          <w:rFonts w:ascii="Times New Roman" w:hAnsi="Times New Roman" w:cs="Times New Roman"/>
          <w:sz w:val="24"/>
          <w:szCs w:val="24"/>
        </w:rPr>
        <w:t xml:space="preserve">escribe the approach to asset </w:t>
      </w:r>
      <w:r w:rsidR="001B0E3E" w:rsidRPr="00EB1936">
        <w:rPr>
          <w:rFonts w:ascii="Times New Roman" w:hAnsi="Times New Roman" w:cs="Times New Roman"/>
          <w:sz w:val="24"/>
          <w:szCs w:val="24"/>
        </w:rPr>
        <w:t xml:space="preserve">and performance </w:t>
      </w:r>
      <w:r w:rsidR="00483DEC" w:rsidRPr="00EB1936">
        <w:rPr>
          <w:rFonts w:ascii="Times New Roman" w:hAnsi="Times New Roman" w:cs="Times New Roman"/>
          <w:sz w:val="24"/>
          <w:szCs w:val="24"/>
        </w:rPr>
        <w:t xml:space="preserve">management for </w:t>
      </w:r>
      <w:r w:rsidRPr="00EB1936">
        <w:rPr>
          <w:rFonts w:ascii="Times New Roman" w:hAnsi="Times New Roman" w:cs="Times New Roman"/>
          <w:sz w:val="24"/>
          <w:szCs w:val="24"/>
        </w:rPr>
        <w:t xml:space="preserve">roads </w:t>
      </w:r>
      <w:r w:rsidR="00483DEC" w:rsidRPr="00EB1936">
        <w:rPr>
          <w:rFonts w:ascii="Times New Roman" w:hAnsi="Times New Roman" w:cs="Times New Roman"/>
          <w:sz w:val="24"/>
          <w:szCs w:val="24"/>
        </w:rPr>
        <w:t xml:space="preserve">as it relates to the agency’s priorities or other risk factors beyond </w:t>
      </w:r>
      <w:r w:rsidR="001B0E3E" w:rsidRPr="00EB1936">
        <w:rPr>
          <w:rFonts w:ascii="Times New Roman" w:hAnsi="Times New Roman" w:cs="Times New Roman"/>
          <w:sz w:val="24"/>
          <w:szCs w:val="24"/>
        </w:rPr>
        <w:t xml:space="preserve">those associated with </w:t>
      </w:r>
      <w:r w:rsidR="00483DEC" w:rsidRPr="00EB1936">
        <w:rPr>
          <w:rFonts w:ascii="Times New Roman" w:hAnsi="Times New Roman" w:cs="Times New Roman"/>
          <w:sz w:val="24"/>
          <w:szCs w:val="24"/>
        </w:rPr>
        <w:t>the HUR-EG designation</w:t>
      </w:r>
      <w:r w:rsidRPr="00EB1936">
        <w:rPr>
          <w:rFonts w:ascii="Times New Roman" w:hAnsi="Times New Roman" w:cs="Times New Roman"/>
          <w:sz w:val="24"/>
          <w:szCs w:val="24"/>
        </w:rPr>
        <w:t>.</w:t>
      </w:r>
      <w:r w:rsidR="003071BC" w:rsidRPr="00EB1936">
        <w:rPr>
          <w:rFonts w:ascii="Times New Roman" w:hAnsi="Times New Roman" w:cs="Times New Roman"/>
          <w:sz w:val="24"/>
          <w:szCs w:val="24"/>
        </w:rPr>
        <w:t xml:space="preserve"> </w:t>
      </w:r>
    </w:p>
    <w:p w14:paraId="14A2C3AE" w14:textId="77777777" w:rsidR="00D238DE" w:rsidRDefault="00A1285F" w:rsidP="00D238DE">
      <w:pPr>
        <w:pStyle w:val="NoSpacing"/>
        <w:numPr>
          <w:ilvl w:val="0"/>
          <w:numId w:val="17"/>
        </w:numPr>
        <w:spacing w:after="200" w:line="276" w:lineRule="auto"/>
        <w:ind w:left="720"/>
        <w:jc w:val="both"/>
        <w:rPr>
          <w:rFonts w:ascii="Times New Roman" w:hAnsi="Times New Roman" w:cs="Times New Roman"/>
          <w:sz w:val="24"/>
          <w:szCs w:val="24"/>
        </w:rPr>
      </w:pPr>
      <w:r w:rsidRPr="00EB1936">
        <w:rPr>
          <w:rFonts w:ascii="Times New Roman" w:hAnsi="Times New Roman" w:cs="Times New Roman"/>
          <w:b/>
          <w:bCs/>
          <w:sz w:val="24"/>
          <w:szCs w:val="24"/>
        </w:rPr>
        <w:t>Bridges</w:t>
      </w:r>
      <w:r w:rsidR="00EB1936" w:rsidRPr="00EB1936">
        <w:rPr>
          <w:rFonts w:ascii="Times New Roman" w:hAnsi="Times New Roman" w:cs="Times New Roman"/>
          <w:b/>
          <w:bCs/>
          <w:sz w:val="24"/>
          <w:szCs w:val="24"/>
        </w:rPr>
        <w:t>:</w:t>
      </w:r>
      <w:r w:rsidR="00EB1936" w:rsidRPr="00EB1936">
        <w:rPr>
          <w:rFonts w:ascii="Times New Roman" w:hAnsi="Times New Roman" w:cs="Times New Roman"/>
          <w:sz w:val="24"/>
          <w:szCs w:val="24"/>
        </w:rPr>
        <w:t xml:space="preserve"> </w:t>
      </w:r>
      <w:r w:rsidR="003071BC" w:rsidRPr="00D238DE">
        <w:rPr>
          <w:rFonts w:ascii="Times New Roman" w:hAnsi="Times New Roman" w:cs="Times New Roman"/>
          <w:sz w:val="24"/>
          <w:szCs w:val="24"/>
        </w:rPr>
        <w:t>This section should address your agency’s plan to reduce bridge deficiencies within the FLMA system. P</w:t>
      </w:r>
      <w:r w:rsidRPr="00D238DE">
        <w:rPr>
          <w:rFonts w:ascii="Times New Roman" w:hAnsi="Times New Roman" w:cs="Times New Roman"/>
          <w:sz w:val="24"/>
          <w:szCs w:val="24"/>
        </w:rPr>
        <w:t>rovide performance goals, condition measures, and targets for FYs 2022 – 2026 based on authorized amounts in the IIJA</w:t>
      </w:r>
      <w:r w:rsidR="00EF32AF" w:rsidRPr="00D238DE">
        <w:rPr>
          <w:rFonts w:ascii="Times New Roman" w:hAnsi="Times New Roman" w:cs="Times New Roman"/>
          <w:sz w:val="24"/>
          <w:szCs w:val="24"/>
        </w:rPr>
        <w:t xml:space="preserve"> at a minimum for all bridges on roads </w:t>
      </w:r>
      <w:r w:rsidR="007D2CE1" w:rsidRPr="00D238DE">
        <w:rPr>
          <w:rFonts w:ascii="Times New Roman" w:hAnsi="Times New Roman" w:cs="Times New Roman"/>
          <w:sz w:val="24"/>
          <w:szCs w:val="24"/>
        </w:rPr>
        <w:t>access</w:t>
      </w:r>
      <w:r w:rsidR="004A6218" w:rsidRPr="00D238DE">
        <w:rPr>
          <w:rFonts w:ascii="Times New Roman" w:hAnsi="Times New Roman" w:cs="Times New Roman"/>
          <w:sz w:val="24"/>
          <w:szCs w:val="24"/>
        </w:rPr>
        <w:t xml:space="preserve">ing </w:t>
      </w:r>
      <w:r w:rsidR="00EF32AF" w:rsidRPr="00D238DE">
        <w:rPr>
          <w:rFonts w:ascii="Times New Roman" w:hAnsi="Times New Roman" w:cs="Times New Roman"/>
          <w:sz w:val="24"/>
          <w:szCs w:val="24"/>
        </w:rPr>
        <w:t>HUR-EG</w:t>
      </w:r>
      <w:r w:rsidRPr="00D238DE">
        <w:rPr>
          <w:rFonts w:ascii="Times New Roman" w:hAnsi="Times New Roman" w:cs="Times New Roman"/>
          <w:sz w:val="24"/>
          <w:szCs w:val="24"/>
        </w:rPr>
        <w:t xml:space="preserve">.  </w:t>
      </w:r>
      <w:r w:rsidR="00EF32AF" w:rsidRPr="00D238DE">
        <w:rPr>
          <w:rFonts w:ascii="Times New Roman" w:hAnsi="Times New Roman" w:cs="Times New Roman"/>
          <w:sz w:val="24"/>
          <w:szCs w:val="24"/>
        </w:rPr>
        <w:t>D</w:t>
      </w:r>
      <w:r w:rsidRPr="00D238DE">
        <w:rPr>
          <w:rFonts w:ascii="Times New Roman" w:hAnsi="Times New Roman" w:cs="Times New Roman"/>
          <w:sz w:val="24"/>
          <w:szCs w:val="24"/>
        </w:rPr>
        <w:t xml:space="preserve">ifferentiate the </w:t>
      </w:r>
      <w:r w:rsidR="00D6209F" w:rsidRPr="00D238DE">
        <w:rPr>
          <w:rFonts w:ascii="Times New Roman" w:hAnsi="Times New Roman" w:cs="Times New Roman"/>
          <w:sz w:val="24"/>
          <w:szCs w:val="24"/>
        </w:rPr>
        <w:t xml:space="preserve">condition and target information by the </w:t>
      </w:r>
      <w:r w:rsidRPr="00D238DE">
        <w:rPr>
          <w:rFonts w:ascii="Times New Roman" w:hAnsi="Times New Roman" w:cs="Times New Roman"/>
          <w:sz w:val="24"/>
          <w:szCs w:val="24"/>
        </w:rPr>
        <w:t xml:space="preserve">subset of bridges on </w:t>
      </w:r>
      <w:r w:rsidR="00EF32AF" w:rsidRPr="00D238DE">
        <w:rPr>
          <w:rFonts w:ascii="Times New Roman" w:hAnsi="Times New Roman" w:cs="Times New Roman"/>
          <w:sz w:val="24"/>
          <w:szCs w:val="24"/>
        </w:rPr>
        <w:t xml:space="preserve">and off the </w:t>
      </w:r>
      <w:r w:rsidR="00DC6483" w:rsidRPr="00D238DE">
        <w:rPr>
          <w:rFonts w:ascii="Times New Roman" w:hAnsi="Times New Roman" w:cs="Times New Roman"/>
          <w:sz w:val="24"/>
          <w:szCs w:val="24"/>
        </w:rPr>
        <w:t>National Bridge Inventory (</w:t>
      </w:r>
      <w:r w:rsidR="00EF32AF" w:rsidRPr="00D238DE">
        <w:rPr>
          <w:rFonts w:ascii="Times New Roman" w:hAnsi="Times New Roman" w:cs="Times New Roman"/>
          <w:sz w:val="24"/>
          <w:szCs w:val="24"/>
        </w:rPr>
        <w:t>NBI</w:t>
      </w:r>
      <w:r w:rsidR="00DC6483" w:rsidRPr="00D238DE">
        <w:rPr>
          <w:rFonts w:ascii="Times New Roman" w:hAnsi="Times New Roman" w:cs="Times New Roman"/>
          <w:sz w:val="24"/>
          <w:szCs w:val="24"/>
        </w:rPr>
        <w:t>)</w:t>
      </w:r>
      <w:r w:rsidR="00EF32AF" w:rsidRPr="00D238DE">
        <w:rPr>
          <w:rFonts w:ascii="Times New Roman" w:hAnsi="Times New Roman" w:cs="Times New Roman"/>
          <w:sz w:val="24"/>
          <w:szCs w:val="24"/>
        </w:rPr>
        <w:t>, as applicable</w:t>
      </w:r>
      <w:r w:rsidR="00D6209F" w:rsidRPr="00D238DE">
        <w:rPr>
          <w:rFonts w:ascii="Times New Roman" w:hAnsi="Times New Roman" w:cs="Times New Roman"/>
          <w:sz w:val="24"/>
          <w:szCs w:val="24"/>
        </w:rPr>
        <w:t xml:space="preserve">. </w:t>
      </w:r>
      <w:r w:rsidRPr="00D238DE">
        <w:rPr>
          <w:rFonts w:ascii="Times New Roman" w:hAnsi="Times New Roman" w:cs="Times New Roman"/>
          <w:sz w:val="24"/>
          <w:szCs w:val="24"/>
        </w:rPr>
        <w:t xml:space="preserve"> </w:t>
      </w:r>
      <w:r w:rsidR="00273B75" w:rsidRPr="00D238DE">
        <w:rPr>
          <w:rFonts w:ascii="Times New Roman" w:hAnsi="Times New Roman" w:cs="Times New Roman"/>
          <w:sz w:val="24"/>
          <w:szCs w:val="24"/>
        </w:rPr>
        <w:t xml:space="preserve">Agencies are not </w:t>
      </w:r>
      <w:r w:rsidR="00273B75" w:rsidRPr="00D238DE">
        <w:rPr>
          <w:rFonts w:ascii="Times New Roman" w:hAnsi="Times New Roman" w:cs="Times New Roman"/>
          <w:sz w:val="24"/>
          <w:szCs w:val="24"/>
        </w:rPr>
        <w:lastRenderedPageBreak/>
        <w:t xml:space="preserve">limited to goals and measures specific to HUR-EG. As applicable, describe the approach to asset and performance management for public bridges as it relates to the agency’s priorities or other risk factors beyond those associated with the HUR-EG designation. </w:t>
      </w:r>
    </w:p>
    <w:p w14:paraId="6325D477" w14:textId="6D6D4952" w:rsidR="00B23D64" w:rsidRPr="00D238DE" w:rsidRDefault="00D6209F" w:rsidP="00D238DE">
      <w:pPr>
        <w:pStyle w:val="NoSpacing"/>
        <w:numPr>
          <w:ilvl w:val="0"/>
          <w:numId w:val="17"/>
        </w:numPr>
        <w:spacing w:after="200" w:line="276" w:lineRule="auto"/>
        <w:ind w:left="720"/>
        <w:jc w:val="both"/>
        <w:rPr>
          <w:rFonts w:ascii="Times New Roman" w:hAnsi="Times New Roman" w:cs="Times New Roman"/>
          <w:sz w:val="24"/>
          <w:szCs w:val="24"/>
        </w:rPr>
      </w:pPr>
      <w:r w:rsidRPr="00D238DE">
        <w:rPr>
          <w:rFonts w:ascii="Times New Roman" w:hAnsi="Times New Roman" w:cs="Times New Roman"/>
          <w:b/>
          <w:bCs/>
          <w:sz w:val="24"/>
          <w:szCs w:val="24"/>
        </w:rPr>
        <w:t>Parking Lots</w:t>
      </w:r>
      <w:r w:rsidR="00BF5A01" w:rsidRPr="00D238DE">
        <w:rPr>
          <w:rFonts w:ascii="Times New Roman" w:hAnsi="Times New Roman" w:cs="Times New Roman"/>
          <w:b/>
          <w:bCs/>
          <w:sz w:val="24"/>
          <w:szCs w:val="24"/>
        </w:rPr>
        <w:t>:</w:t>
      </w:r>
      <w:r w:rsidR="00BF5A01" w:rsidRPr="00D238DE">
        <w:rPr>
          <w:rFonts w:ascii="Times New Roman" w:hAnsi="Times New Roman" w:cs="Times New Roman"/>
          <w:sz w:val="24"/>
          <w:szCs w:val="24"/>
        </w:rPr>
        <w:t xml:space="preserve"> </w:t>
      </w:r>
      <w:r w:rsidR="003071BC" w:rsidRPr="00D238DE">
        <w:rPr>
          <w:rFonts w:ascii="Times New Roman" w:hAnsi="Times New Roman" w:cs="Times New Roman"/>
          <w:sz w:val="24"/>
          <w:szCs w:val="24"/>
        </w:rPr>
        <w:t xml:space="preserve">This section should address your agency’s plan to maintain a state of good repair for parking lots within the FLTFI. </w:t>
      </w:r>
      <w:r w:rsidR="00886FFF" w:rsidRPr="00D238DE">
        <w:rPr>
          <w:rFonts w:ascii="Times New Roman" w:hAnsi="Times New Roman" w:cs="Times New Roman"/>
          <w:sz w:val="24"/>
          <w:szCs w:val="24"/>
        </w:rPr>
        <w:t xml:space="preserve">If parking lots </w:t>
      </w:r>
      <w:r w:rsidR="00F57C06" w:rsidRPr="00D238DE">
        <w:rPr>
          <w:rFonts w:ascii="Times New Roman" w:hAnsi="Times New Roman" w:cs="Times New Roman"/>
          <w:sz w:val="24"/>
          <w:szCs w:val="24"/>
        </w:rPr>
        <w:t xml:space="preserve">are </w:t>
      </w:r>
      <w:r w:rsidR="00364B48" w:rsidRPr="00D238DE">
        <w:rPr>
          <w:rFonts w:ascii="Times New Roman" w:hAnsi="Times New Roman" w:cs="Times New Roman"/>
          <w:sz w:val="24"/>
          <w:szCs w:val="24"/>
        </w:rPr>
        <w:t>included in the FLMA</w:t>
      </w:r>
      <w:r w:rsidR="003232A5" w:rsidRPr="00D238DE">
        <w:rPr>
          <w:rFonts w:ascii="Times New Roman" w:hAnsi="Times New Roman" w:cs="Times New Roman"/>
          <w:sz w:val="24"/>
          <w:szCs w:val="24"/>
        </w:rPr>
        <w:t>’</w:t>
      </w:r>
      <w:r w:rsidR="00364B48" w:rsidRPr="00D238DE">
        <w:rPr>
          <w:rFonts w:ascii="Times New Roman" w:hAnsi="Times New Roman" w:cs="Times New Roman"/>
          <w:sz w:val="24"/>
          <w:szCs w:val="24"/>
        </w:rPr>
        <w:t xml:space="preserve">s </w:t>
      </w:r>
      <w:r w:rsidR="00C6195C" w:rsidRPr="00D238DE">
        <w:rPr>
          <w:rFonts w:ascii="Times New Roman" w:hAnsi="Times New Roman" w:cs="Times New Roman"/>
          <w:sz w:val="24"/>
          <w:szCs w:val="24"/>
        </w:rPr>
        <w:t>FLTFI</w:t>
      </w:r>
      <w:r w:rsidR="00113C99" w:rsidRPr="00D238DE">
        <w:rPr>
          <w:rFonts w:ascii="Times New Roman" w:hAnsi="Times New Roman" w:cs="Times New Roman"/>
          <w:sz w:val="24"/>
          <w:szCs w:val="24"/>
        </w:rPr>
        <w:t>,</w:t>
      </w:r>
      <w:r w:rsidR="00364B48" w:rsidRPr="00D238DE">
        <w:rPr>
          <w:rFonts w:ascii="Times New Roman" w:hAnsi="Times New Roman" w:cs="Times New Roman"/>
          <w:sz w:val="24"/>
          <w:szCs w:val="24"/>
        </w:rPr>
        <w:t xml:space="preserve"> define what constitutes a parking lot in the system</w:t>
      </w:r>
      <w:r w:rsidR="003071BC" w:rsidRPr="00D238DE">
        <w:rPr>
          <w:rFonts w:ascii="Times New Roman" w:hAnsi="Times New Roman" w:cs="Times New Roman"/>
          <w:sz w:val="24"/>
          <w:szCs w:val="24"/>
        </w:rPr>
        <w:t xml:space="preserve"> and</w:t>
      </w:r>
      <w:r w:rsidR="008656D9" w:rsidRPr="00D238DE">
        <w:rPr>
          <w:rFonts w:ascii="Times New Roman" w:hAnsi="Times New Roman" w:cs="Times New Roman"/>
          <w:sz w:val="24"/>
          <w:szCs w:val="24"/>
        </w:rPr>
        <w:t xml:space="preserve"> </w:t>
      </w:r>
      <w:r w:rsidR="003071BC" w:rsidRPr="00D238DE">
        <w:rPr>
          <w:rFonts w:ascii="Times New Roman" w:hAnsi="Times New Roman" w:cs="Times New Roman"/>
          <w:sz w:val="24"/>
          <w:szCs w:val="24"/>
        </w:rPr>
        <w:t xml:space="preserve">describe </w:t>
      </w:r>
      <w:r w:rsidR="008656D9" w:rsidRPr="00D238DE">
        <w:rPr>
          <w:rFonts w:ascii="Times New Roman" w:hAnsi="Times New Roman" w:cs="Times New Roman"/>
          <w:sz w:val="24"/>
          <w:szCs w:val="24"/>
        </w:rPr>
        <w:t>how condition is assessed</w:t>
      </w:r>
      <w:r w:rsidR="003071BC" w:rsidRPr="00D238DE">
        <w:rPr>
          <w:rFonts w:ascii="Times New Roman" w:hAnsi="Times New Roman" w:cs="Times New Roman"/>
          <w:sz w:val="24"/>
          <w:szCs w:val="24"/>
        </w:rPr>
        <w:t xml:space="preserve">. </w:t>
      </w:r>
      <w:r w:rsidR="00162401" w:rsidRPr="00D238DE">
        <w:rPr>
          <w:rFonts w:ascii="Times New Roman" w:hAnsi="Times New Roman" w:cs="Times New Roman"/>
          <w:sz w:val="24"/>
          <w:szCs w:val="24"/>
        </w:rPr>
        <w:t>If applicable, p</w:t>
      </w:r>
      <w:r w:rsidR="003071BC" w:rsidRPr="00D238DE">
        <w:rPr>
          <w:rFonts w:ascii="Times New Roman" w:hAnsi="Times New Roman" w:cs="Times New Roman"/>
          <w:sz w:val="24"/>
          <w:szCs w:val="24"/>
        </w:rPr>
        <w:t>rovide performance goals, condition measures, and targets for FYs 2022 – 2026 based on authorized amounts in the IIJA. S</w:t>
      </w:r>
      <w:r w:rsidR="006F6666" w:rsidRPr="00D238DE">
        <w:rPr>
          <w:rFonts w:ascii="Times New Roman" w:hAnsi="Times New Roman" w:cs="Times New Roman"/>
          <w:sz w:val="24"/>
          <w:szCs w:val="24"/>
        </w:rPr>
        <w:t>ummarize data</w:t>
      </w:r>
      <w:r w:rsidR="00DF08E5" w:rsidRPr="00D238DE">
        <w:rPr>
          <w:rFonts w:ascii="Times New Roman" w:hAnsi="Times New Roman" w:cs="Times New Roman"/>
          <w:sz w:val="24"/>
          <w:szCs w:val="24"/>
        </w:rPr>
        <w:t xml:space="preserve"> separately for paved and unpaved parking lots</w:t>
      </w:r>
      <w:r w:rsidR="003071BC" w:rsidRPr="00D238DE">
        <w:rPr>
          <w:rFonts w:ascii="Times New Roman" w:hAnsi="Times New Roman" w:cs="Times New Roman"/>
          <w:sz w:val="24"/>
          <w:szCs w:val="24"/>
        </w:rPr>
        <w:t xml:space="preserve">, and for parking lots </w:t>
      </w:r>
      <w:r w:rsidR="007D2CE1" w:rsidRPr="00D238DE">
        <w:rPr>
          <w:rFonts w:ascii="Times New Roman" w:hAnsi="Times New Roman" w:cs="Times New Roman"/>
          <w:sz w:val="24"/>
          <w:szCs w:val="24"/>
        </w:rPr>
        <w:t>access</w:t>
      </w:r>
      <w:r w:rsidR="004A6218" w:rsidRPr="00D238DE">
        <w:rPr>
          <w:rFonts w:ascii="Times New Roman" w:hAnsi="Times New Roman" w:cs="Times New Roman"/>
          <w:sz w:val="24"/>
          <w:szCs w:val="24"/>
        </w:rPr>
        <w:t>ing</w:t>
      </w:r>
      <w:r w:rsidR="003071BC" w:rsidRPr="00D238DE">
        <w:rPr>
          <w:rFonts w:ascii="Times New Roman" w:hAnsi="Times New Roman" w:cs="Times New Roman"/>
          <w:sz w:val="24"/>
          <w:szCs w:val="24"/>
        </w:rPr>
        <w:t xml:space="preserve"> HUR-EG</w:t>
      </w:r>
      <w:r w:rsidR="00364B48" w:rsidRPr="00D238DE">
        <w:rPr>
          <w:rFonts w:ascii="Times New Roman" w:hAnsi="Times New Roman" w:cs="Times New Roman"/>
          <w:sz w:val="24"/>
          <w:szCs w:val="24"/>
        </w:rPr>
        <w:t>.</w:t>
      </w:r>
    </w:p>
    <w:p w14:paraId="13A3BD1D" w14:textId="32B0BAB4" w:rsidR="00364B48" w:rsidRPr="00BF5A01" w:rsidRDefault="00D07C9F" w:rsidP="00B949EE">
      <w:pPr>
        <w:pStyle w:val="NoSpacing"/>
        <w:numPr>
          <w:ilvl w:val="0"/>
          <w:numId w:val="17"/>
        </w:numPr>
        <w:spacing w:after="200" w:line="276" w:lineRule="auto"/>
        <w:ind w:left="720"/>
        <w:jc w:val="both"/>
        <w:rPr>
          <w:rFonts w:ascii="Times New Roman" w:hAnsi="Times New Roman" w:cs="Times New Roman"/>
          <w:sz w:val="24"/>
          <w:szCs w:val="24"/>
        </w:rPr>
      </w:pPr>
      <w:r w:rsidRPr="00BF5A01">
        <w:rPr>
          <w:rFonts w:ascii="Times New Roman" w:hAnsi="Times New Roman" w:cs="Times New Roman"/>
          <w:b/>
          <w:bCs/>
          <w:sz w:val="24"/>
          <w:szCs w:val="24"/>
        </w:rPr>
        <w:t>Trails</w:t>
      </w:r>
      <w:bookmarkStart w:id="12" w:name="_Hlk85033834"/>
      <w:r w:rsidR="00BF5A01" w:rsidRPr="00BF5A01">
        <w:rPr>
          <w:rFonts w:ascii="Times New Roman" w:hAnsi="Times New Roman" w:cs="Times New Roman"/>
          <w:b/>
          <w:bCs/>
          <w:sz w:val="24"/>
          <w:szCs w:val="24"/>
        </w:rPr>
        <w:t>:</w:t>
      </w:r>
      <w:r w:rsidR="00BF5A01">
        <w:rPr>
          <w:rFonts w:ascii="Times New Roman" w:hAnsi="Times New Roman" w:cs="Times New Roman"/>
          <w:sz w:val="24"/>
          <w:szCs w:val="24"/>
        </w:rPr>
        <w:t xml:space="preserve"> </w:t>
      </w:r>
      <w:r w:rsidR="00E1150F" w:rsidRPr="00BF5A01">
        <w:rPr>
          <w:rFonts w:ascii="Times New Roman" w:hAnsi="Times New Roman" w:cs="Times New Roman"/>
          <w:sz w:val="24"/>
          <w:szCs w:val="24"/>
        </w:rPr>
        <w:t xml:space="preserve">This section should address your agency’s plan to maintain a state of good repair for </w:t>
      </w:r>
      <w:r w:rsidR="00162401" w:rsidRPr="00BF5A01">
        <w:rPr>
          <w:rFonts w:ascii="Times New Roman" w:hAnsi="Times New Roman" w:cs="Times New Roman"/>
          <w:sz w:val="24"/>
          <w:szCs w:val="24"/>
        </w:rPr>
        <w:t>trails</w:t>
      </w:r>
      <w:r w:rsidR="00E1150F" w:rsidRPr="00BF5A01">
        <w:rPr>
          <w:rFonts w:ascii="Times New Roman" w:hAnsi="Times New Roman" w:cs="Times New Roman"/>
          <w:sz w:val="24"/>
          <w:szCs w:val="24"/>
        </w:rPr>
        <w:t xml:space="preserve"> within the FLTFI. </w:t>
      </w:r>
      <w:r w:rsidR="00B23D64" w:rsidRPr="00BF5A01">
        <w:rPr>
          <w:rFonts w:ascii="Times New Roman" w:hAnsi="Times New Roman" w:cs="Times New Roman"/>
          <w:sz w:val="24"/>
          <w:szCs w:val="24"/>
        </w:rPr>
        <w:t xml:space="preserve">For trails included in the FLMAs’ </w:t>
      </w:r>
      <w:r w:rsidR="00162401" w:rsidRPr="00BF5A01">
        <w:rPr>
          <w:rFonts w:ascii="Times New Roman" w:hAnsi="Times New Roman" w:cs="Times New Roman"/>
          <w:sz w:val="24"/>
          <w:szCs w:val="24"/>
        </w:rPr>
        <w:t>FLTFI</w:t>
      </w:r>
      <w:r w:rsidR="00B23D64" w:rsidRPr="00BF5A01">
        <w:rPr>
          <w:rFonts w:ascii="Times New Roman" w:hAnsi="Times New Roman" w:cs="Times New Roman"/>
          <w:sz w:val="24"/>
          <w:szCs w:val="24"/>
        </w:rPr>
        <w:t>, define what constitutes a trail in the system</w:t>
      </w:r>
      <w:r w:rsidR="008656D9" w:rsidRPr="00BF5A01">
        <w:rPr>
          <w:rFonts w:ascii="Times New Roman" w:hAnsi="Times New Roman" w:cs="Times New Roman"/>
          <w:sz w:val="24"/>
          <w:szCs w:val="24"/>
        </w:rPr>
        <w:t xml:space="preserve">, </w:t>
      </w:r>
      <w:r w:rsidR="00162401" w:rsidRPr="00BF5A01">
        <w:rPr>
          <w:rFonts w:ascii="Times New Roman" w:hAnsi="Times New Roman" w:cs="Times New Roman"/>
          <w:sz w:val="24"/>
          <w:szCs w:val="24"/>
        </w:rPr>
        <w:t xml:space="preserve">and describe </w:t>
      </w:r>
      <w:r w:rsidR="008656D9" w:rsidRPr="00BF5A01">
        <w:rPr>
          <w:rFonts w:ascii="Times New Roman" w:hAnsi="Times New Roman" w:cs="Times New Roman"/>
          <w:sz w:val="24"/>
          <w:szCs w:val="24"/>
        </w:rPr>
        <w:t>how condition is assessed</w:t>
      </w:r>
      <w:r w:rsidR="00162401" w:rsidRPr="00BF5A01">
        <w:rPr>
          <w:rFonts w:ascii="Times New Roman" w:hAnsi="Times New Roman" w:cs="Times New Roman"/>
          <w:sz w:val="24"/>
          <w:szCs w:val="24"/>
        </w:rPr>
        <w:t>.</w:t>
      </w:r>
      <w:r w:rsidR="006F6666" w:rsidRPr="00BF5A01">
        <w:rPr>
          <w:rFonts w:ascii="Times New Roman" w:hAnsi="Times New Roman" w:cs="Times New Roman"/>
          <w:sz w:val="24"/>
          <w:szCs w:val="24"/>
        </w:rPr>
        <w:t xml:space="preserve"> </w:t>
      </w:r>
      <w:r w:rsidR="00D27D22" w:rsidRPr="00BF5A01">
        <w:rPr>
          <w:rFonts w:ascii="Times New Roman" w:hAnsi="Times New Roman" w:cs="Times New Roman"/>
          <w:sz w:val="24"/>
          <w:szCs w:val="24"/>
        </w:rPr>
        <w:t>P</w:t>
      </w:r>
      <w:r w:rsidR="00162401" w:rsidRPr="00BF5A01">
        <w:rPr>
          <w:rFonts w:ascii="Times New Roman" w:hAnsi="Times New Roman" w:cs="Times New Roman"/>
          <w:sz w:val="24"/>
          <w:szCs w:val="24"/>
        </w:rPr>
        <w:t xml:space="preserve">rovide performance goals, condition measures, and targets for FYs 2022 – 2026 based on authorized amounts in the IIJA. Summarize data separately for native and engineered trails, and for trails </w:t>
      </w:r>
      <w:r w:rsidR="007D2CE1">
        <w:rPr>
          <w:rFonts w:ascii="Times New Roman" w:hAnsi="Times New Roman" w:cs="Times New Roman"/>
          <w:sz w:val="24"/>
          <w:szCs w:val="24"/>
        </w:rPr>
        <w:t>access</w:t>
      </w:r>
      <w:r w:rsidR="004A6218">
        <w:rPr>
          <w:rFonts w:ascii="Times New Roman" w:hAnsi="Times New Roman" w:cs="Times New Roman"/>
          <w:sz w:val="24"/>
          <w:szCs w:val="24"/>
        </w:rPr>
        <w:t>ing</w:t>
      </w:r>
      <w:r w:rsidR="00162401" w:rsidRPr="00BF5A01">
        <w:rPr>
          <w:rFonts w:ascii="Times New Roman" w:hAnsi="Times New Roman" w:cs="Times New Roman"/>
          <w:sz w:val="24"/>
          <w:szCs w:val="24"/>
        </w:rPr>
        <w:t xml:space="preserve"> HUR-EG. </w:t>
      </w:r>
      <w:bookmarkEnd w:id="12"/>
    </w:p>
    <w:p w14:paraId="28D7ED01" w14:textId="78E08040" w:rsidR="00D07C9F" w:rsidRPr="00BF5A01" w:rsidRDefault="0098255F" w:rsidP="00B949EE">
      <w:pPr>
        <w:pStyle w:val="NoSpacing"/>
        <w:numPr>
          <w:ilvl w:val="0"/>
          <w:numId w:val="17"/>
        </w:numPr>
        <w:spacing w:after="200" w:line="276" w:lineRule="auto"/>
        <w:ind w:left="720"/>
        <w:jc w:val="both"/>
        <w:rPr>
          <w:rFonts w:ascii="Times New Roman" w:hAnsi="Times New Roman" w:cs="Times New Roman"/>
          <w:sz w:val="24"/>
          <w:szCs w:val="24"/>
        </w:rPr>
      </w:pPr>
      <w:r w:rsidRPr="00BF5A01">
        <w:rPr>
          <w:rFonts w:ascii="Times New Roman" w:hAnsi="Times New Roman" w:cs="Times New Roman"/>
          <w:b/>
          <w:bCs/>
          <w:sz w:val="24"/>
          <w:szCs w:val="24"/>
        </w:rPr>
        <w:t>Transit</w:t>
      </w:r>
      <w:r w:rsidR="00BF5A01" w:rsidRPr="00BF5A01">
        <w:rPr>
          <w:rFonts w:ascii="Times New Roman" w:hAnsi="Times New Roman" w:cs="Times New Roman"/>
          <w:b/>
          <w:bCs/>
          <w:sz w:val="24"/>
          <w:szCs w:val="24"/>
        </w:rPr>
        <w:t xml:space="preserve">: </w:t>
      </w:r>
      <w:r w:rsidR="004C321A" w:rsidRPr="00BF5A01">
        <w:rPr>
          <w:rFonts w:ascii="Times New Roman" w:hAnsi="Times New Roman" w:cs="Times New Roman"/>
          <w:sz w:val="24"/>
          <w:szCs w:val="24"/>
        </w:rPr>
        <w:t xml:space="preserve">The use of </w:t>
      </w:r>
      <w:r w:rsidRPr="00BF5A01">
        <w:rPr>
          <w:rFonts w:ascii="Times New Roman" w:hAnsi="Times New Roman" w:cs="Times New Roman"/>
          <w:sz w:val="24"/>
          <w:szCs w:val="24"/>
        </w:rPr>
        <w:t xml:space="preserve">transit </w:t>
      </w:r>
      <w:r w:rsidR="00E002A1" w:rsidRPr="00BF5A01">
        <w:rPr>
          <w:rFonts w:ascii="Times New Roman" w:hAnsi="Times New Roman" w:cs="Times New Roman"/>
          <w:sz w:val="24"/>
          <w:szCs w:val="24"/>
        </w:rPr>
        <w:t>systems</w:t>
      </w:r>
      <w:r w:rsidR="00362E4A" w:rsidRPr="00BF5A01">
        <w:rPr>
          <w:rFonts w:ascii="Times New Roman" w:hAnsi="Times New Roman" w:cs="Times New Roman"/>
          <w:sz w:val="24"/>
          <w:szCs w:val="24"/>
        </w:rPr>
        <w:t xml:space="preserve"> </w:t>
      </w:r>
      <w:r w:rsidR="006223FA" w:rsidRPr="00BF5A01">
        <w:rPr>
          <w:rFonts w:ascii="Times New Roman" w:hAnsi="Times New Roman" w:cs="Times New Roman"/>
          <w:sz w:val="24"/>
          <w:szCs w:val="24"/>
        </w:rPr>
        <w:t xml:space="preserve">are </w:t>
      </w:r>
      <w:r w:rsidR="004C321A" w:rsidRPr="00BF5A01">
        <w:rPr>
          <w:rFonts w:ascii="Times New Roman" w:hAnsi="Times New Roman" w:cs="Times New Roman"/>
          <w:sz w:val="24"/>
          <w:szCs w:val="24"/>
        </w:rPr>
        <w:t>critical option</w:t>
      </w:r>
      <w:r w:rsidR="006223FA" w:rsidRPr="00BF5A01">
        <w:rPr>
          <w:rFonts w:ascii="Times New Roman" w:hAnsi="Times New Roman" w:cs="Times New Roman"/>
          <w:sz w:val="24"/>
          <w:szCs w:val="24"/>
        </w:rPr>
        <w:t>s</w:t>
      </w:r>
      <w:r w:rsidR="004C321A" w:rsidRPr="00BF5A01">
        <w:rPr>
          <w:rFonts w:ascii="Times New Roman" w:hAnsi="Times New Roman" w:cs="Times New Roman"/>
          <w:sz w:val="24"/>
          <w:szCs w:val="24"/>
        </w:rPr>
        <w:t xml:space="preserve"> for FLMAs.  </w:t>
      </w:r>
      <w:r w:rsidR="00A04BAF" w:rsidRPr="00BF5A01">
        <w:rPr>
          <w:rFonts w:ascii="Times New Roman" w:hAnsi="Times New Roman" w:cs="Times New Roman"/>
          <w:sz w:val="24"/>
          <w:szCs w:val="24"/>
        </w:rPr>
        <w:t xml:space="preserve">As </w:t>
      </w:r>
      <w:r w:rsidR="00FF0769" w:rsidRPr="00BF5A01">
        <w:rPr>
          <w:rFonts w:ascii="Times New Roman" w:hAnsi="Times New Roman" w:cs="Times New Roman"/>
          <w:sz w:val="24"/>
          <w:szCs w:val="24"/>
        </w:rPr>
        <w:t xml:space="preserve">applicable, </w:t>
      </w:r>
      <w:r w:rsidR="00611480" w:rsidRPr="00BF5A01">
        <w:rPr>
          <w:rFonts w:ascii="Times New Roman" w:hAnsi="Times New Roman" w:cs="Times New Roman"/>
          <w:sz w:val="24"/>
          <w:szCs w:val="24"/>
        </w:rPr>
        <w:t>p</w:t>
      </w:r>
      <w:r w:rsidR="005126A7" w:rsidRPr="00BF5A01">
        <w:rPr>
          <w:rFonts w:ascii="Times New Roman" w:hAnsi="Times New Roman" w:cs="Times New Roman"/>
          <w:sz w:val="24"/>
          <w:szCs w:val="24"/>
        </w:rPr>
        <w:t>rovide the</w:t>
      </w:r>
      <w:r w:rsidR="00362E4A" w:rsidRPr="00BF5A01">
        <w:rPr>
          <w:rFonts w:ascii="Times New Roman" w:hAnsi="Times New Roman" w:cs="Times New Roman"/>
          <w:sz w:val="24"/>
          <w:szCs w:val="24"/>
        </w:rPr>
        <w:t xml:space="preserve"> </w:t>
      </w:r>
      <w:r w:rsidR="005126A7" w:rsidRPr="00BF5A01">
        <w:rPr>
          <w:rFonts w:ascii="Times New Roman" w:hAnsi="Times New Roman" w:cs="Times New Roman"/>
          <w:sz w:val="24"/>
          <w:szCs w:val="24"/>
        </w:rPr>
        <w:t>information</w:t>
      </w:r>
      <w:r w:rsidR="00FF0769" w:rsidRPr="00BF5A01">
        <w:rPr>
          <w:rFonts w:ascii="Times New Roman" w:hAnsi="Times New Roman" w:cs="Times New Roman"/>
          <w:sz w:val="24"/>
          <w:szCs w:val="24"/>
        </w:rPr>
        <w:t xml:space="preserve"> </w:t>
      </w:r>
      <w:r w:rsidR="00DE0611" w:rsidRPr="00BF5A01">
        <w:rPr>
          <w:rFonts w:ascii="Times New Roman" w:hAnsi="Times New Roman" w:cs="Times New Roman"/>
          <w:sz w:val="24"/>
          <w:szCs w:val="24"/>
        </w:rPr>
        <w:t xml:space="preserve">below </w:t>
      </w:r>
      <w:r w:rsidR="00D07C9F" w:rsidRPr="00BF5A01">
        <w:rPr>
          <w:rFonts w:ascii="Times New Roman" w:hAnsi="Times New Roman" w:cs="Times New Roman"/>
          <w:sz w:val="24"/>
          <w:szCs w:val="24"/>
        </w:rPr>
        <w:t>by the following groups:</w:t>
      </w:r>
    </w:p>
    <w:p w14:paraId="21156FA6" w14:textId="77777777" w:rsidR="0098255F" w:rsidRPr="008E7977" w:rsidRDefault="0098255F" w:rsidP="00BF5A01">
      <w:pPr>
        <w:pStyle w:val="NoSpacing"/>
        <w:numPr>
          <w:ilvl w:val="0"/>
          <w:numId w:val="18"/>
        </w:numPr>
        <w:spacing w:after="200" w:line="276" w:lineRule="auto"/>
        <w:ind w:left="1260"/>
        <w:jc w:val="both"/>
        <w:rPr>
          <w:rFonts w:ascii="Times New Roman" w:hAnsi="Times New Roman" w:cs="Times New Roman"/>
          <w:sz w:val="24"/>
          <w:szCs w:val="24"/>
        </w:rPr>
      </w:pPr>
      <w:r w:rsidRPr="008E7977">
        <w:rPr>
          <w:rFonts w:ascii="Times New Roman" w:hAnsi="Times New Roman" w:cs="Times New Roman"/>
          <w:sz w:val="24"/>
          <w:szCs w:val="24"/>
        </w:rPr>
        <w:t>Transit Route / Bus stops</w:t>
      </w:r>
    </w:p>
    <w:p w14:paraId="0A0E0896" w14:textId="77777777" w:rsidR="00A04BAF" w:rsidRPr="00A5295D" w:rsidRDefault="00A04BAF" w:rsidP="00BF5A01">
      <w:pPr>
        <w:pStyle w:val="NoSpacing"/>
        <w:numPr>
          <w:ilvl w:val="0"/>
          <w:numId w:val="18"/>
        </w:numPr>
        <w:spacing w:after="200" w:line="276" w:lineRule="auto"/>
        <w:ind w:left="1260"/>
        <w:jc w:val="both"/>
        <w:rPr>
          <w:rFonts w:ascii="Times New Roman" w:hAnsi="Times New Roman" w:cs="Times New Roman"/>
          <w:i/>
          <w:iCs/>
          <w:sz w:val="24"/>
          <w:szCs w:val="24"/>
        </w:rPr>
      </w:pPr>
      <w:r w:rsidRPr="00A5295D">
        <w:rPr>
          <w:rFonts w:ascii="Times New Roman" w:hAnsi="Times New Roman" w:cs="Times New Roman"/>
          <w:sz w:val="24"/>
          <w:szCs w:val="24"/>
        </w:rPr>
        <w:t>Boat ramps/Ferry docks</w:t>
      </w:r>
    </w:p>
    <w:p w14:paraId="6D8C46B7" w14:textId="1C263848" w:rsidR="00D07C9F" w:rsidRPr="008E7977" w:rsidRDefault="00D07C9F" w:rsidP="00BF5A01">
      <w:pPr>
        <w:pStyle w:val="NoSpacing"/>
        <w:numPr>
          <w:ilvl w:val="0"/>
          <w:numId w:val="18"/>
        </w:numPr>
        <w:spacing w:after="200" w:line="276" w:lineRule="auto"/>
        <w:ind w:left="1260"/>
        <w:jc w:val="both"/>
        <w:rPr>
          <w:rFonts w:ascii="Times New Roman" w:hAnsi="Times New Roman" w:cs="Times New Roman"/>
          <w:i/>
          <w:iCs/>
          <w:sz w:val="24"/>
          <w:szCs w:val="24"/>
        </w:rPr>
      </w:pPr>
      <w:r w:rsidRPr="008E7977">
        <w:rPr>
          <w:rFonts w:ascii="Times New Roman" w:hAnsi="Times New Roman" w:cs="Times New Roman"/>
          <w:sz w:val="24"/>
          <w:szCs w:val="24"/>
        </w:rPr>
        <w:t>Shuttles, busses, vans</w:t>
      </w:r>
    </w:p>
    <w:p w14:paraId="469C38AD" w14:textId="77777777" w:rsidR="00D07C9F" w:rsidRPr="008E7977" w:rsidRDefault="00D07C9F" w:rsidP="00BF5A01">
      <w:pPr>
        <w:pStyle w:val="NoSpacing"/>
        <w:numPr>
          <w:ilvl w:val="0"/>
          <w:numId w:val="18"/>
        </w:numPr>
        <w:spacing w:after="200" w:line="276" w:lineRule="auto"/>
        <w:ind w:left="1260"/>
        <w:jc w:val="both"/>
        <w:rPr>
          <w:rFonts w:ascii="Times New Roman" w:hAnsi="Times New Roman" w:cs="Times New Roman"/>
          <w:i/>
          <w:iCs/>
          <w:sz w:val="24"/>
          <w:szCs w:val="24"/>
        </w:rPr>
      </w:pPr>
      <w:r w:rsidRPr="008E7977">
        <w:rPr>
          <w:rFonts w:ascii="Times New Roman" w:hAnsi="Times New Roman" w:cs="Times New Roman"/>
          <w:sz w:val="24"/>
          <w:szCs w:val="24"/>
        </w:rPr>
        <w:t>Air and water ferries</w:t>
      </w:r>
    </w:p>
    <w:p w14:paraId="7511DBDD" w14:textId="77777777" w:rsidR="00362E4A" w:rsidRPr="008E7977" w:rsidRDefault="00362E4A" w:rsidP="00BF5A01">
      <w:pPr>
        <w:pStyle w:val="NoSpacing"/>
        <w:numPr>
          <w:ilvl w:val="0"/>
          <w:numId w:val="18"/>
        </w:numPr>
        <w:spacing w:after="200" w:line="276" w:lineRule="auto"/>
        <w:ind w:left="1260"/>
        <w:jc w:val="both"/>
        <w:rPr>
          <w:rFonts w:ascii="Times New Roman" w:hAnsi="Times New Roman" w:cs="Times New Roman"/>
          <w:i/>
          <w:iCs/>
          <w:sz w:val="24"/>
          <w:szCs w:val="24"/>
        </w:rPr>
      </w:pPr>
      <w:r w:rsidRPr="008E7977">
        <w:rPr>
          <w:rFonts w:ascii="Times New Roman" w:hAnsi="Times New Roman" w:cs="Times New Roman"/>
          <w:sz w:val="24"/>
          <w:szCs w:val="24"/>
        </w:rPr>
        <w:t>Trains</w:t>
      </w:r>
    </w:p>
    <w:p w14:paraId="283751AD" w14:textId="77777777" w:rsidR="00362E4A" w:rsidRPr="008E7977" w:rsidRDefault="00362E4A" w:rsidP="00BF5A01">
      <w:pPr>
        <w:pStyle w:val="NoSpacing"/>
        <w:numPr>
          <w:ilvl w:val="0"/>
          <w:numId w:val="18"/>
        </w:numPr>
        <w:spacing w:after="200" w:line="276" w:lineRule="auto"/>
        <w:ind w:left="1260"/>
        <w:jc w:val="both"/>
        <w:rPr>
          <w:rFonts w:ascii="Times New Roman" w:hAnsi="Times New Roman" w:cs="Times New Roman"/>
          <w:i/>
          <w:iCs/>
          <w:sz w:val="24"/>
          <w:szCs w:val="24"/>
        </w:rPr>
      </w:pPr>
      <w:r w:rsidRPr="008E7977">
        <w:rPr>
          <w:rFonts w:ascii="Times New Roman" w:hAnsi="Times New Roman" w:cs="Times New Roman"/>
          <w:sz w:val="24"/>
          <w:szCs w:val="24"/>
        </w:rPr>
        <w:t>Trolleys</w:t>
      </w:r>
    </w:p>
    <w:p w14:paraId="786D766B" w14:textId="77777777" w:rsidR="00362E4A" w:rsidRPr="008E7977" w:rsidRDefault="00362E4A" w:rsidP="00BF5A01">
      <w:pPr>
        <w:pStyle w:val="NoSpacing"/>
        <w:numPr>
          <w:ilvl w:val="0"/>
          <w:numId w:val="18"/>
        </w:numPr>
        <w:spacing w:after="200" w:line="276" w:lineRule="auto"/>
        <w:ind w:left="1260"/>
        <w:jc w:val="both"/>
        <w:rPr>
          <w:rFonts w:ascii="Times New Roman" w:hAnsi="Times New Roman" w:cs="Times New Roman"/>
          <w:sz w:val="24"/>
          <w:szCs w:val="24"/>
        </w:rPr>
      </w:pPr>
      <w:r w:rsidRPr="008E7977">
        <w:rPr>
          <w:rFonts w:ascii="Times New Roman" w:hAnsi="Times New Roman" w:cs="Times New Roman"/>
          <w:sz w:val="24"/>
          <w:szCs w:val="24"/>
        </w:rPr>
        <w:t xml:space="preserve">Other </w:t>
      </w:r>
    </w:p>
    <w:p w14:paraId="4025E758" w14:textId="784EAEEF" w:rsidR="003C2DE6" w:rsidRPr="00BF5A01" w:rsidRDefault="00BC48CE" w:rsidP="009F2A8B">
      <w:pPr>
        <w:pStyle w:val="NoSpacing"/>
        <w:spacing w:after="200" w:line="276" w:lineRule="auto"/>
        <w:ind w:left="720"/>
        <w:jc w:val="both"/>
        <w:rPr>
          <w:rFonts w:ascii="Times New Roman" w:hAnsi="Times New Roman" w:cs="Times New Roman"/>
          <w:sz w:val="24"/>
          <w:szCs w:val="24"/>
        </w:rPr>
      </w:pPr>
      <w:r w:rsidRPr="008E7977">
        <w:rPr>
          <w:rFonts w:ascii="Times New Roman" w:hAnsi="Times New Roman" w:cs="Times New Roman"/>
          <w:sz w:val="24"/>
          <w:szCs w:val="24"/>
        </w:rPr>
        <w:t>Describe the</w:t>
      </w:r>
      <w:r w:rsidR="00362E4A" w:rsidRPr="008E7977">
        <w:rPr>
          <w:rFonts w:ascii="Times New Roman" w:hAnsi="Times New Roman" w:cs="Times New Roman"/>
          <w:sz w:val="24"/>
          <w:szCs w:val="24"/>
        </w:rPr>
        <w:t xml:space="preserve"> </w:t>
      </w:r>
      <w:r w:rsidR="00FF0769" w:rsidRPr="008E7977">
        <w:rPr>
          <w:rFonts w:ascii="Times New Roman" w:hAnsi="Times New Roman" w:cs="Times New Roman"/>
          <w:sz w:val="24"/>
          <w:szCs w:val="24"/>
        </w:rPr>
        <w:t>performance measures and targets</w:t>
      </w:r>
      <w:r w:rsidR="00362E4A" w:rsidRPr="008E7977">
        <w:rPr>
          <w:rFonts w:ascii="Times New Roman" w:hAnsi="Times New Roman" w:cs="Times New Roman"/>
          <w:sz w:val="24"/>
          <w:szCs w:val="24"/>
        </w:rPr>
        <w:t xml:space="preserve"> for each group, if represented in your </w:t>
      </w:r>
      <w:r w:rsidR="00995F05">
        <w:rPr>
          <w:rFonts w:ascii="Times New Roman" w:hAnsi="Times New Roman" w:cs="Times New Roman"/>
          <w:sz w:val="24"/>
          <w:szCs w:val="24"/>
        </w:rPr>
        <w:t xml:space="preserve">agency’s </w:t>
      </w:r>
      <w:r w:rsidR="00362E4A" w:rsidRPr="008E7977">
        <w:rPr>
          <w:rFonts w:ascii="Times New Roman" w:hAnsi="Times New Roman" w:cs="Times New Roman"/>
          <w:sz w:val="24"/>
          <w:szCs w:val="24"/>
        </w:rPr>
        <w:t>official inventory.</w:t>
      </w:r>
      <w:r w:rsidR="00362E4A">
        <w:rPr>
          <w:rFonts w:ascii="Times New Roman" w:hAnsi="Times New Roman" w:cs="Times New Roman"/>
          <w:sz w:val="24"/>
          <w:szCs w:val="24"/>
        </w:rPr>
        <w:t xml:space="preserve"> </w:t>
      </w:r>
      <w:r w:rsidR="00FF0769" w:rsidRPr="00FB24BF">
        <w:rPr>
          <w:rFonts w:ascii="Times New Roman" w:hAnsi="Times New Roman" w:cs="Times New Roman"/>
          <w:sz w:val="24"/>
          <w:szCs w:val="24"/>
        </w:rPr>
        <w:t xml:space="preserve"> </w:t>
      </w:r>
      <w:r w:rsidR="006F172F" w:rsidRPr="00FB24BF">
        <w:rPr>
          <w:rFonts w:ascii="Times New Roman" w:hAnsi="Times New Roman" w:cs="Times New Roman"/>
          <w:sz w:val="24"/>
          <w:szCs w:val="24"/>
        </w:rPr>
        <w:t xml:space="preserve">Examples could include ridership levels/targets over the next 5 years; </w:t>
      </w:r>
      <w:r w:rsidR="00A31FD4" w:rsidRPr="00FB24BF">
        <w:rPr>
          <w:rFonts w:ascii="Times New Roman" w:hAnsi="Times New Roman" w:cs="Times New Roman"/>
          <w:sz w:val="24"/>
          <w:szCs w:val="24"/>
        </w:rPr>
        <w:t xml:space="preserve">operating cost per passenger boarding; </w:t>
      </w:r>
      <w:r w:rsidR="006F172F" w:rsidRPr="00FB24BF">
        <w:rPr>
          <w:rFonts w:ascii="Times New Roman" w:hAnsi="Times New Roman" w:cs="Times New Roman"/>
          <w:sz w:val="24"/>
          <w:szCs w:val="24"/>
        </w:rPr>
        <w:t>how transit augment</w:t>
      </w:r>
      <w:r w:rsidR="00045CE2" w:rsidRPr="00FB24BF">
        <w:rPr>
          <w:rFonts w:ascii="Times New Roman" w:hAnsi="Times New Roman" w:cs="Times New Roman"/>
          <w:sz w:val="24"/>
          <w:szCs w:val="24"/>
        </w:rPr>
        <w:t>s FLMA’s</w:t>
      </w:r>
      <w:r w:rsidR="006F172F" w:rsidRPr="00FB24BF">
        <w:rPr>
          <w:rFonts w:ascii="Times New Roman" w:hAnsi="Times New Roman" w:cs="Times New Roman"/>
          <w:sz w:val="24"/>
          <w:szCs w:val="24"/>
        </w:rPr>
        <w:t xml:space="preserve"> total visitation against all modes</w:t>
      </w:r>
      <w:r w:rsidR="00045CE2" w:rsidRPr="00FB24BF">
        <w:rPr>
          <w:rFonts w:ascii="Times New Roman" w:hAnsi="Times New Roman" w:cs="Times New Roman"/>
          <w:sz w:val="24"/>
          <w:szCs w:val="24"/>
        </w:rPr>
        <w:t xml:space="preserve">; how </w:t>
      </w:r>
      <w:r w:rsidR="00DE0611">
        <w:rPr>
          <w:rFonts w:ascii="Times New Roman" w:hAnsi="Times New Roman" w:cs="Times New Roman"/>
          <w:sz w:val="24"/>
          <w:szCs w:val="24"/>
        </w:rPr>
        <w:t>these transit systems</w:t>
      </w:r>
      <w:r w:rsidR="00362E4A">
        <w:rPr>
          <w:rFonts w:ascii="Times New Roman" w:hAnsi="Times New Roman" w:cs="Times New Roman"/>
          <w:sz w:val="24"/>
          <w:szCs w:val="24"/>
        </w:rPr>
        <w:t xml:space="preserve"> </w:t>
      </w:r>
      <w:r w:rsidR="00045CE2" w:rsidRPr="00FB24BF">
        <w:rPr>
          <w:rFonts w:ascii="Times New Roman" w:hAnsi="Times New Roman" w:cs="Times New Roman"/>
          <w:sz w:val="24"/>
          <w:szCs w:val="24"/>
        </w:rPr>
        <w:t xml:space="preserve">may support a larger visitor experience </w:t>
      </w:r>
      <w:r w:rsidR="00A075A6">
        <w:rPr>
          <w:rFonts w:ascii="Times New Roman" w:hAnsi="Times New Roman" w:cs="Times New Roman"/>
          <w:sz w:val="24"/>
          <w:szCs w:val="24"/>
        </w:rPr>
        <w:t xml:space="preserve">and </w:t>
      </w:r>
      <w:r w:rsidR="00A075A6" w:rsidRPr="00BF5A01">
        <w:rPr>
          <w:rFonts w:ascii="Times New Roman" w:hAnsi="Times New Roman" w:cs="Times New Roman"/>
          <w:sz w:val="24"/>
          <w:szCs w:val="24"/>
        </w:rPr>
        <w:t xml:space="preserve">resource protection </w:t>
      </w:r>
      <w:proofErr w:type="spellStart"/>
      <w:r w:rsidR="00045CE2" w:rsidRPr="00BF5A01">
        <w:rPr>
          <w:rFonts w:ascii="Times New Roman" w:hAnsi="Times New Roman" w:cs="Times New Roman"/>
          <w:sz w:val="24"/>
          <w:szCs w:val="24"/>
        </w:rPr>
        <w:t>metric</w:t>
      </w:r>
      <w:r w:rsidR="00A075A6" w:rsidRPr="00BF5A01">
        <w:rPr>
          <w:rFonts w:ascii="Times New Roman" w:hAnsi="Times New Roman" w:cs="Times New Roman"/>
          <w:sz w:val="24"/>
          <w:szCs w:val="24"/>
        </w:rPr>
        <w:t>s</w:t>
      </w:r>
      <w:r w:rsidR="0025259D" w:rsidRPr="00BF5A01">
        <w:rPr>
          <w:rFonts w:ascii="Times New Roman" w:hAnsi="Times New Roman" w:cs="Times New Roman"/>
          <w:sz w:val="24"/>
          <w:szCs w:val="24"/>
        </w:rPr>
        <w:t>Improvement</w:t>
      </w:r>
      <w:proofErr w:type="spellEnd"/>
      <w:r w:rsidR="0025259D" w:rsidRPr="00BF5A01">
        <w:rPr>
          <w:rFonts w:ascii="Times New Roman" w:hAnsi="Times New Roman" w:cs="Times New Roman"/>
          <w:sz w:val="24"/>
          <w:szCs w:val="24"/>
        </w:rPr>
        <w:t xml:space="preserve"> of </w:t>
      </w:r>
      <w:proofErr w:type="gramStart"/>
      <w:r w:rsidR="00F71AEB" w:rsidRPr="00BF5A01">
        <w:rPr>
          <w:rFonts w:ascii="Times New Roman" w:hAnsi="Times New Roman" w:cs="Times New Roman"/>
          <w:sz w:val="24"/>
          <w:szCs w:val="24"/>
        </w:rPr>
        <w:t>Safety</w:t>
      </w:r>
      <w:proofErr w:type="gramEnd"/>
    </w:p>
    <w:p w14:paraId="178C6E6E" w14:textId="2E5CD2DC" w:rsidR="000A0F8E" w:rsidRDefault="001C4B41" w:rsidP="006822DA">
      <w:pPr>
        <w:pStyle w:val="NoSpacing"/>
        <w:spacing w:after="200" w:line="276" w:lineRule="auto"/>
        <w:ind w:left="360"/>
        <w:jc w:val="both"/>
        <w:rPr>
          <w:rFonts w:ascii="Times New Roman" w:hAnsi="Times New Roman" w:cs="Times New Roman"/>
          <w:sz w:val="24"/>
          <w:szCs w:val="24"/>
        </w:rPr>
      </w:pPr>
      <w:r w:rsidRPr="008A21F5">
        <w:rPr>
          <w:rFonts w:ascii="Times New Roman" w:hAnsi="Times New Roman" w:cs="Times New Roman"/>
          <w:sz w:val="24"/>
          <w:szCs w:val="24"/>
        </w:rPr>
        <w:t>Transportation safety continues to be the Department’s</w:t>
      </w:r>
      <w:r w:rsidRPr="00D14B44">
        <w:rPr>
          <w:rFonts w:ascii="Times New Roman" w:hAnsi="Times New Roman" w:cs="Times New Roman"/>
          <w:sz w:val="24"/>
          <w:szCs w:val="24"/>
        </w:rPr>
        <w:t xml:space="preserve"> </w:t>
      </w:r>
      <w:r w:rsidR="000D7103">
        <w:rPr>
          <w:rFonts w:ascii="Times New Roman" w:hAnsi="Times New Roman" w:cs="Times New Roman"/>
          <w:sz w:val="24"/>
          <w:szCs w:val="24"/>
        </w:rPr>
        <w:t>number one</w:t>
      </w:r>
      <w:r w:rsidRPr="00D14B44">
        <w:rPr>
          <w:rFonts w:ascii="Times New Roman" w:hAnsi="Times New Roman" w:cs="Times New Roman"/>
          <w:sz w:val="24"/>
          <w:szCs w:val="24"/>
        </w:rPr>
        <w:t xml:space="preserve"> priority.  </w:t>
      </w:r>
      <w:r w:rsidR="00F65E00" w:rsidRPr="009D62DE">
        <w:rPr>
          <w:rFonts w:ascii="Times New Roman" w:hAnsi="Times New Roman" w:cs="Times New Roman"/>
          <w:sz w:val="24"/>
          <w:szCs w:val="24"/>
        </w:rPr>
        <w:t xml:space="preserve">Safety starts with </w:t>
      </w:r>
      <w:r w:rsidR="00630329">
        <w:rPr>
          <w:rFonts w:ascii="Times New Roman" w:hAnsi="Times New Roman" w:cs="Times New Roman"/>
          <w:sz w:val="24"/>
          <w:szCs w:val="24"/>
        </w:rPr>
        <w:t>good</w:t>
      </w:r>
      <w:r w:rsidR="00F65E00" w:rsidRPr="009D62DE">
        <w:rPr>
          <w:rFonts w:ascii="Times New Roman" w:hAnsi="Times New Roman" w:cs="Times New Roman"/>
          <w:sz w:val="24"/>
          <w:szCs w:val="24"/>
        </w:rPr>
        <w:t xml:space="preserve"> data </w:t>
      </w:r>
      <w:r w:rsidR="00AC5F03">
        <w:rPr>
          <w:rFonts w:ascii="Times New Roman" w:hAnsi="Times New Roman" w:cs="Times New Roman"/>
          <w:sz w:val="24"/>
          <w:szCs w:val="24"/>
        </w:rPr>
        <w:t xml:space="preserve">which then </w:t>
      </w:r>
      <w:r w:rsidR="00F65E00" w:rsidRPr="009D62DE">
        <w:rPr>
          <w:rFonts w:ascii="Times New Roman" w:hAnsi="Times New Roman" w:cs="Times New Roman"/>
          <w:sz w:val="24"/>
          <w:szCs w:val="24"/>
        </w:rPr>
        <w:t>forms the foundation for improved traffic safety through analysis, research, data-driven decisions</w:t>
      </w:r>
      <w:r w:rsidR="000D7103">
        <w:rPr>
          <w:rFonts w:ascii="Times New Roman" w:hAnsi="Times New Roman" w:cs="Times New Roman"/>
          <w:sz w:val="24"/>
          <w:szCs w:val="24"/>
        </w:rPr>
        <w:t>,</w:t>
      </w:r>
      <w:r w:rsidR="00F65E00" w:rsidRPr="009D62DE">
        <w:rPr>
          <w:rFonts w:ascii="Times New Roman" w:hAnsi="Times New Roman" w:cs="Times New Roman"/>
          <w:sz w:val="24"/>
          <w:szCs w:val="24"/>
        </w:rPr>
        <w:t xml:space="preserve"> and implementation.  </w:t>
      </w:r>
    </w:p>
    <w:p w14:paraId="7F012CCD" w14:textId="699DD604" w:rsidR="00871B69" w:rsidRDefault="0092069C" w:rsidP="00BF5A01">
      <w:pPr>
        <w:pStyle w:val="NoSpacing"/>
        <w:numPr>
          <w:ilvl w:val="0"/>
          <w:numId w:val="20"/>
        </w:num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w:t>
      </w:r>
      <w:r w:rsidR="000D7103">
        <w:rPr>
          <w:rFonts w:ascii="Times New Roman" w:hAnsi="Times New Roman" w:cs="Times New Roman"/>
          <w:sz w:val="24"/>
          <w:szCs w:val="24"/>
        </w:rPr>
        <w:t xml:space="preserve">rovide </w:t>
      </w:r>
      <w:r>
        <w:rPr>
          <w:rFonts w:ascii="Times New Roman" w:hAnsi="Times New Roman" w:cs="Times New Roman"/>
          <w:sz w:val="24"/>
          <w:szCs w:val="24"/>
        </w:rPr>
        <w:t>the FLMA</w:t>
      </w:r>
      <w:r w:rsidRPr="00D14B44">
        <w:rPr>
          <w:rFonts w:ascii="Times New Roman" w:hAnsi="Times New Roman" w:cs="Times New Roman"/>
          <w:sz w:val="24"/>
          <w:szCs w:val="24"/>
        </w:rPr>
        <w:t xml:space="preserve"> </w:t>
      </w:r>
      <w:r w:rsidR="001C4B41" w:rsidRPr="00D14B44">
        <w:rPr>
          <w:rFonts w:ascii="Times New Roman" w:hAnsi="Times New Roman" w:cs="Times New Roman"/>
          <w:sz w:val="24"/>
          <w:szCs w:val="24"/>
        </w:rPr>
        <w:t>performance goal</w:t>
      </w:r>
      <w:r w:rsidR="000D7103">
        <w:rPr>
          <w:rFonts w:ascii="Times New Roman" w:hAnsi="Times New Roman" w:cs="Times New Roman"/>
          <w:sz w:val="24"/>
          <w:szCs w:val="24"/>
        </w:rPr>
        <w:t>s</w:t>
      </w:r>
      <w:r w:rsidR="001C4B41" w:rsidRPr="00D14B44">
        <w:rPr>
          <w:rFonts w:ascii="Times New Roman" w:hAnsi="Times New Roman" w:cs="Times New Roman"/>
          <w:sz w:val="24"/>
          <w:szCs w:val="24"/>
        </w:rPr>
        <w:t>, measure</w:t>
      </w:r>
      <w:r w:rsidR="000D7103">
        <w:rPr>
          <w:rFonts w:ascii="Times New Roman" w:hAnsi="Times New Roman" w:cs="Times New Roman"/>
          <w:sz w:val="24"/>
          <w:szCs w:val="24"/>
        </w:rPr>
        <w:t>s</w:t>
      </w:r>
      <w:r w:rsidR="001C4B41" w:rsidRPr="00D14B44">
        <w:rPr>
          <w:rFonts w:ascii="Times New Roman" w:hAnsi="Times New Roman" w:cs="Times New Roman"/>
          <w:sz w:val="24"/>
          <w:szCs w:val="24"/>
        </w:rPr>
        <w:t xml:space="preserve">, and targets based on the authorized funding through </w:t>
      </w:r>
      <w:r w:rsidR="000D7103">
        <w:rPr>
          <w:rFonts w:ascii="Times New Roman" w:hAnsi="Times New Roman" w:cs="Times New Roman"/>
          <w:sz w:val="24"/>
          <w:szCs w:val="24"/>
        </w:rPr>
        <w:t xml:space="preserve">FY </w:t>
      </w:r>
      <w:r w:rsidR="001C4B41" w:rsidRPr="00D14B44">
        <w:rPr>
          <w:rFonts w:ascii="Times New Roman" w:hAnsi="Times New Roman" w:cs="Times New Roman"/>
          <w:sz w:val="24"/>
          <w:szCs w:val="24"/>
        </w:rPr>
        <w:t>2026</w:t>
      </w:r>
      <w:r w:rsidR="00AC5F03" w:rsidRPr="00AC5F03">
        <w:rPr>
          <w:rFonts w:ascii="Times New Roman" w:hAnsi="Times New Roman" w:cs="Times New Roman"/>
          <w:sz w:val="24"/>
          <w:szCs w:val="24"/>
        </w:rPr>
        <w:t xml:space="preserve"> and</w:t>
      </w:r>
      <w:r w:rsidR="001C4B41" w:rsidRPr="00AC5F03">
        <w:rPr>
          <w:rFonts w:ascii="Times New Roman" w:hAnsi="Times New Roman" w:cs="Times New Roman"/>
          <w:sz w:val="24"/>
          <w:szCs w:val="24"/>
        </w:rPr>
        <w:t xml:space="preserve"> </w:t>
      </w:r>
      <w:r w:rsidR="00F65E00" w:rsidRPr="00AC5F03">
        <w:rPr>
          <w:rFonts w:ascii="Times New Roman" w:hAnsi="Times New Roman" w:cs="Times New Roman"/>
          <w:sz w:val="24"/>
          <w:szCs w:val="24"/>
        </w:rPr>
        <w:t xml:space="preserve">describe </w:t>
      </w:r>
      <w:r w:rsidR="00AC5F03" w:rsidRPr="00AC5F03">
        <w:rPr>
          <w:rFonts w:ascii="Times New Roman" w:hAnsi="Times New Roman" w:cs="Times New Roman"/>
          <w:sz w:val="24"/>
          <w:szCs w:val="24"/>
        </w:rPr>
        <w:t xml:space="preserve">the </w:t>
      </w:r>
      <w:r w:rsidR="00F65E00" w:rsidRPr="00AC5F03">
        <w:rPr>
          <w:rFonts w:ascii="Times New Roman" w:hAnsi="Times New Roman" w:cs="Times New Roman"/>
          <w:sz w:val="24"/>
          <w:szCs w:val="24"/>
        </w:rPr>
        <w:t xml:space="preserve">plans to collect and report safety data </w:t>
      </w:r>
      <w:r w:rsidR="00630329">
        <w:rPr>
          <w:rFonts w:ascii="Times New Roman" w:hAnsi="Times New Roman" w:cs="Times New Roman"/>
          <w:sz w:val="24"/>
          <w:szCs w:val="24"/>
        </w:rPr>
        <w:t xml:space="preserve">on </w:t>
      </w:r>
      <w:r w:rsidR="00A04BAF">
        <w:rPr>
          <w:rFonts w:ascii="Times New Roman" w:hAnsi="Times New Roman" w:cs="Times New Roman"/>
          <w:sz w:val="24"/>
          <w:szCs w:val="24"/>
        </w:rPr>
        <w:t>HUR-EG</w:t>
      </w:r>
      <w:r w:rsidR="00630329">
        <w:rPr>
          <w:rFonts w:ascii="Times New Roman" w:hAnsi="Times New Roman" w:cs="Times New Roman"/>
          <w:sz w:val="24"/>
          <w:szCs w:val="24"/>
        </w:rPr>
        <w:t xml:space="preserve"> </w:t>
      </w:r>
      <w:r w:rsidR="00F65E00" w:rsidRPr="00AC5F03">
        <w:rPr>
          <w:rFonts w:ascii="Times New Roman" w:hAnsi="Times New Roman" w:cs="Times New Roman"/>
          <w:sz w:val="24"/>
          <w:szCs w:val="24"/>
        </w:rPr>
        <w:t xml:space="preserve">that </w:t>
      </w:r>
      <w:r w:rsidR="00630329">
        <w:rPr>
          <w:rFonts w:ascii="Times New Roman" w:hAnsi="Times New Roman" w:cs="Times New Roman"/>
          <w:sz w:val="24"/>
          <w:szCs w:val="24"/>
        </w:rPr>
        <w:t xml:space="preserve">FLMAs </w:t>
      </w:r>
      <w:r w:rsidR="00F65E00" w:rsidRPr="00AC5F03">
        <w:rPr>
          <w:rFonts w:ascii="Times New Roman" w:hAnsi="Times New Roman" w:cs="Times New Roman"/>
          <w:sz w:val="24"/>
          <w:szCs w:val="24"/>
        </w:rPr>
        <w:t xml:space="preserve">will use to influence FLTP programming decisions. </w:t>
      </w:r>
    </w:p>
    <w:p w14:paraId="707F2F8A" w14:textId="7D74ACC4" w:rsidR="000A0F8E" w:rsidRDefault="00AC5F03" w:rsidP="00BF5A01">
      <w:pPr>
        <w:pStyle w:val="NoSpacing"/>
        <w:numPr>
          <w:ilvl w:val="0"/>
          <w:numId w:val="20"/>
        </w:numPr>
        <w:spacing w:after="200" w:line="276" w:lineRule="auto"/>
        <w:ind w:left="720"/>
        <w:jc w:val="both"/>
        <w:rPr>
          <w:rFonts w:ascii="Times New Roman" w:hAnsi="Times New Roman" w:cs="Times New Roman"/>
          <w:sz w:val="24"/>
          <w:szCs w:val="24"/>
        </w:rPr>
      </w:pPr>
      <w:r w:rsidRPr="003B5752">
        <w:rPr>
          <w:rFonts w:ascii="Times New Roman" w:hAnsi="Times New Roman" w:cs="Times New Roman"/>
          <w:sz w:val="24"/>
          <w:szCs w:val="24"/>
        </w:rPr>
        <w:t xml:space="preserve">FLMAs </w:t>
      </w:r>
      <w:r w:rsidR="00F65E00" w:rsidRPr="003B5752">
        <w:rPr>
          <w:rFonts w:ascii="Times New Roman" w:hAnsi="Times New Roman" w:cs="Times New Roman"/>
          <w:sz w:val="24"/>
          <w:szCs w:val="24"/>
        </w:rPr>
        <w:t xml:space="preserve">who </w:t>
      </w:r>
      <w:r w:rsidR="00FF0174">
        <w:rPr>
          <w:rFonts w:ascii="Times New Roman" w:hAnsi="Times New Roman" w:cs="Times New Roman"/>
          <w:sz w:val="24"/>
          <w:szCs w:val="24"/>
        </w:rPr>
        <w:t>conclude that</w:t>
      </w:r>
      <w:r w:rsidR="00F65E00" w:rsidRPr="003B5752">
        <w:rPr>
          <w:rFonts w:ascii="Times New Roman" w:hAnsi="Times New Roman" w:cs="Times New Roman"/>
          <w:sz w:val="24"/>
          <w:szCs w:val="24"/>
        </w:rPr>
        <w:t xml:space="preserve"> transportation safety is not a high</w:t>
      </w:r>
      <w:r w:rsidR="002215B1">
        <w:rPr>
          <w:rFonts w:ascii="Times New Roman" w:hAnsi="Times New Roman" w:cs="Times New Roman"/>
          <w:sz w:val="24"/>
          <w:szCs w:val="24"/>
        </w:rPr>
        <w:t>-</w:t>
      </w:r>
      <w:r w:rsidR="00F65E00" w:rsidRPr="003B5752">
        <w:rPr>
          <w:rFonts w:ascii="Times New Roman" w:hAnsi="Times New Roman" w:cs="Times New Roman"/>
          <w:sz w:val="24"/>
          <w:szCs w:val="24"/>
        </w:rPr>
        <w:t xml:space="preserve">risk area on their lands </w:t>
      </w:r>
      <w:r w:rsidR="003B5752" w:rsidRPr="003B5752">
        <w:rPr>
          <w:rFonts w:ascii="Times New Roman" w:hAnsi="Times New Roman" w:cs="Times New Roman"/>
          <w:sz w:val="24"/>
          <w:szCs w:val="24"/>
        </w:rPr>
        <w:t xml:space="preserve">must </w:t>
      </w:r>
      <w:r w:rsidR="00630329">
        <w:rPr>
          <w:rFonts w:ascii="Times New Roman" w:hAnsi="Times New Roman" w:cs="Times New Roman"/>
          <w:sz w:val="24"/>
          <w:szCs w:val="24"/>
        </w:rPr>
        <w:t>describe</w:t>
      </w:r>
      <w:r w:rsidR="00630329" w:rsidRPr="003B5752">
        <w:rPr>
          <w:rFonts w:ascii="Times New Roman" w:hAnsi="Times New Roman" w:cs="Times New Roman"/>
          <w:sz w:val="24"/>
          <w:szCs w:val="24"/>
        </w:rPr>
        <w:t xml:space="preserve"> </w:t>
      </w:r>
      <w:r w:rsidR="00FF0174">
        <w:rPr>
          <w:rFonts w:ascii="Times New Roman" w:hAnsi="Times New Roman" w:cs="Times New Roman"/>
          <w:sz w:val="24"/>
          <w:szCs w:val="24"/>
        </w:rPr>
        <w:t>how they arrived at</w:t>
      </w:r>
      <w:r w:rsidR="003B5752" w:rsidRPr="003B5752">
        <w:rPr>
          <w:rFonts w:ascii="Times New Roman" w:hAnsi="Times New Roman" w:cs="Times New Roman"/>
          <w:sz w:val="24"/>
          <w:szCs w:val="24"/>
        </w:rPr>
        <w:t xml:space="preserve"> this conclusion</w:t>
      </w:r>
      <w:r w:rsidR="00F65E00" w:rsidRPr="003B5752">
        <w:rPr>
          <w:rFonts w:ascii="Times New Roman" w:hAnsi="Times New Roman" w:cs="Times New Roman"/>
          <w:sz w:val="24"/>
          <w:szCs w:val="24"/>
        </w:rPr>
        <w:t xml:space="preserve">, e.g., safety data, incident management procedures, </w:t>
      </w:r>
      <w:r w:rsidR="00630329">
        <w:rPr>
          <w:rFonts w:ascii="Times New Roman" w:hAnsi="Times New Roman" w:cs="Times New Roman"/>
          <w:sz w:val="24"/>
          <w:szCs w:val="24"/>
        </w:rPr>
        <w:t xml:space="preserve">or </w:t>
      </w:r>
      <w:r w:rsidR="00F65E00" w:rsidRPr="003B5752">
        <w:rPr>
          <w:rFonts w:ascii="Times New Roman" w:hAnsi="Times New Roman" w:cs="Times New Roman"/>
          <w:sz w:val="24"/>
          <w:szCs w:val="24"/>
        </w:rPr>
        <w:t xml:space="preserve">local law enforcement reports.  </w:t>
      </w:r>
      <w:r w:rsidR="003B5752" w:rsidRPr="003B5752">
        <w:rPr>
          <w:rFonts w:ascii="Times New Roman" w:hAnsi="Times New Roman" w:cs="Times New Roman"/>
          <w:sz w:val="24"/>
          <w:szCs w:val="24"/>
        </w:rPr>
        <w:t>These FLMAs must identify</w:t>
      </w:r>
      <w:r w:rsidR="00F65E00" w:rsidRPr="003B5752">
        <w:rPr>
          <w:rFonts w:ascii="Times New Roman" w:hAnsi="Times New Roman" w:cs="Times New Roman"/>
          <w:sz w:val="24"/>
          <w:szCs w:val="24"/>
        </w:rPr>
        <w:t xml:space="preserve"> plans to gather and report the </w:t>
      </w:r>
      <w:r w:rsidR="00FF0174">
        <w:rPr>
          <w:rFonts w:ascii="Times New Roman" w:hAnsi="Times New Roman" w:cs="Times New Roman"/>
          <w:sz w:val="24"/>
          <w:szCs w:val="24"/>
        </w:rPr>
        <w:t>safety</w:t>
      </w:r>
      <w:r w:rsidR="00FF0174" w:rsidRPr="003B5752">
        <w:rPr>
          <w:rFonts w:ascii="Times New Roman" w:hAnsi="Times New Roman" w:cs="Times New Roman"/>
          <w:sz w:val="24"/>
          <w:szCs w:val="24"/>
        </w:rPr>
        <w:t xml:space="preserve"> </w:t>
      </w:r>
      <w:r w:rsidR="00F65E00" w:rsidRPr="003B5752">
        <w:rPr>
          <w:rFonts w:ascii="Times New Roman" w:hAnsi="Times New Roman" w:cs="Times New Roman"/>
          <w:sz w:val="24"/>
          <w:szCs w:val="24"/>
        </w:rPr>
        <w:t xml:space="preserve">data needed to make better informed decisions on </w:t>
      </w:r>
      <w:r w:rsidR="003B5752" w:rsidRPr="003B5752">
        <w:rPr>
          <w:rFonts w:ascii="Times New Roman" w:hAnsi="Times New Roman" w:cs="Times New Roman"/>
          <w:sz w:val="24"/>
          <w:szCs w:val="24"/>
        </w:rPr>
        <w:t xml:space="preserve">their </w:t>
      </w:r>
      <w:r w:rsidR="00F65E00" w:rsidRPr="003B5752">
        <w:rPr>
          <w:rFonts w:ascii="Times New Roman" w:hAnsi="Times New Roman" w:cs="Times New Roman"/>
          <w:sz w:val="24"/>
          <w:szCs w:val="24"/>
        </w:rPr>
        <w:t>FLTP inventory</w:t>
      </w:r>
      <w:r w:rsidR="003B5752" w:rsidRPr="003B5752">
        <w:rPr>
          <w:rFonts w:ascii="Times New Roman" w:hAnsi="Times New Roman" w:cs="Times New Roman"/>
          <w:sz w:val="24"/>
          <w:szCs w:val="24"/>
        </w:rPr>
        <w:t>.</w:t>
      </w:r>
    </w:p>
    <w:p w14:paraId="11EDAF91" w14:textId="34B1CA15" w:rsidR="00C418A3" w:rsidRDefault="00A04BAF" w:rsidP="00C418A3">
      <w:pPr>
        <w:pStyle w:val="NoSpacing"/>
        <w:spacing w:after="200" w:line="276" w:lineRule="auto"/>
        <w:ind w:left="360"/>
        <w:jc w:val="both"/>
        <w:rPr>
          <w:rFonts w:ascii="Times New Roman" w:hAnsi="Times New Roman" w:cs="Times New Roman"/>
          <w:sz w:val="24"/>
          <w:szCs w:val="24"/>
        </w:rPr>
      </w:pPr>
      <w:r w:rsidRPr="00C418A3">
        <w:rPr>
          <w:rFonts w:ascii="Times New Roman" w:hAnsi="Times New Roman" w:cs="Times New Roman"/>
          <w:sz w:val="24"/>
          <w:szCs w:val="24"/>
        </w:rPr>
        <w:t>FHWA is focused on supporting agencies to plan, develop and operate streets and networks that prioritize safety, comfort, and connectivity to destinations for all people who use the street network.</w:t>
      </w:r>
      <w:r w:rsidR="00C418A3">
        <w:rPr>
          <w:rFonts w:ascii="Times New Roman" w:hAnsi="Times New Roman" w:cs="Times New Roman"/>
          <w:sz w:val="24"/>
          <w:szCs w:val="24"/>
        </w:rPr>
        <w:t xml:space="preserve"> </w:t>
      </w:r>
      <w:r w:rsidR="00C418A3" w:rsidRPr="00C418A3">
        <w:rPr>
          <w:rFonts w:ascii="Times New Roman" w:hAnsi="Times New Roman" w:cs="Times New Roman"/>
          <w:sz w:val="24"/>
          <w:szCs w:val="24"/>
        </w:rPr>
        <w:t>Complete Streets serve pedestrians, bicyclists, public transportation users, children, older individuals, individuals with disabilities, motorists, and freight vehicles.</w:t>
      </w:r>
      <w:r w:rsidR="00C418A3">
        <w:rPr>
          <w:rFonts w:ascii="Times New Roman" w:hAnsi="Times New Roman" w:cs="Times New Roman"/>
          <w:sz w:val="24"/>
          <w:szCs w:val="24"/>
        </w:rPr>
        <w:t xml:space="preserve"> With the increased focus on the </w:t>
      </w:r>
      <w:r w:rsidR="009F2A8B">
        <w:rPr>
          <w:rFonts w:ascii="Times New Roman" w:hAnsi="Times New Roman" w:cs="Times New Roman"/>
          <w:sz w:val="24"/>
          <w:szCs w:val="24"/>
        </w:rPr>
        <w:t>multi-modalism</w:t>
      </w:r>
      <w:r w:rsidR="00C418A3">
        <w:rPr>
          <w:rFonts w:ascii="Times New Roman" w:hAnsi="Times New Roman" w:cs="Times New Roman"/>
          <w:sz w:val="24"/>
          <w:szCs w:val="24"/>
        </w:rPr>
        <w:t xml:space="preserve">, describe your agency’s efforts to advance this priority. </w:t>
      </w:r>
    </w:p>
    <w:p w14:paraId="1B95BDBE" w14:textId="4378E553" w:rsidR="006822DA" w:rsidRPr="00BF5A01" w:rsidRDefault="006822DA" w:rsidP="00BF5A01">
      <w:pPr>
        <w:pStyle w:val="NoSpacing"/>
        <w:numPr>
          <w:ilvl w:val="0"/>
          <w:numId w:val="16"/>
        </w:numPr>
        <w:spacing w:after="200" w:line="276" w:lineRule="auto"/>
        <w:jc w:val="both"/>
        <w:rPr>
          <w:rFonts w:ascii="Times New Roman" w:hAnsi="Times New Roman" w:cs="Times New Roman"/>
          <w:sz w:val="24"/>
          <w:szCs w:val="24"/>
        </w:rPr>
      </w:pPr>
      <w:bookmarkStart w:id="13" w:name="_Hlk95400439"/>
      <w:r w:rsidRPr="00BF5A01">
        <w:rPr>
          <w:rFonts w:ascii="Times New Roman" w:hAnsi="Times New Roman" w:cs="Times New Roman"/>
          <w:sz w:val="24"/>
          <w:szCs w:val="24"/>
        </w:rPr>
        <w:t>Congestion Management</w:t>
      </w:r>
    </w:p>
    <w:p w14:paraId="2EEEB1C9" w14:textId="64B58449" w:rsidR="00483DEC" w:rsidRDefault="007B63D5" w:rsidP="001C57D5">
      <w:pPr>
        <w:ind w:left="360"/>
        <w:rPr>
          <w:rFonts w:ascii="Times New Roman" w:hAnsi="Times New Roman" w:cs="Times New Roman"/>
          <w:sz w:val="24"/>
          <w:szCs w:val="24"/>
        </w:rPr>
      </w:pPr>
      <w:r>
        <w:rPr>
          <w:rFonts w:ascii="Times New Roman" w:hAnsi="Times New Roman" w:cs="Times New Roman"/>
          <w:sz w:val="24"/>
          <w:szCs w:val="24"/>
        </w:rPr>
        <w:t>As applicable, p</w:t>
      </w:r>
      <w:r w:rsidR="00483DEC" w:rsidRPr="00483DEC">
        <w:rPr>
          <w:rFonts w:ascii="Times New Roman" w:hAnsi="Times New Roman" w:cs="Times New Roman"/>
          <w:sz w:val="24"/>
          <w:szCs w:val="24"/>
        </w:rPr>
        <w:t xml:space="preserve">rovide the FLMA performance goals, measures, and targets based on the authorized funding through FY 2026 and describe the plans to collect and report </w:t>
      </w:r>
      <w:r w:rsidR="00483DEC">
        <w:rPr>
          <w:rFonts w:ascii="Times New Roman" w:hAnsi="Times New Roman" w:cs="Times New Roman"/>
          <w:sz w:val="24"/>
          <w:szCs w:val="24"/>
        </w:rPr>
        <w:t>congestion</w:t>
      </w:r>
      <w:r w:rsidR="00483DEC" w:rsidRPr="00483DEC">
        <w:rPr>
          <w:rFonts w:ascii="Times New Roman" w:hAnsi="Times New Roman" w:cs="Times New Roman"/>
          <w:sz w:val="24"/>
          <w:szCs w:val="24"/>
        </w:rPr>
        <w:t xml:space="preserve"> data on</w:t>
      </w:r>
      <w:r w:rsidR="001C3191">
        <w:rPr>
          <w:rFonts w:ascii="Times New Roman" w:hAnsi="Times New Roman" w:cs="Times New Roman"/>
          <w:sz w:val="24"/>
          <w:szCs w:val="24"/>
        </w:rPr>
        <w:t xml:space="preserve"> facilities accessing</w:t>
      </w:r>
      <w:r w:rsidR="00483DEC" w:rsidRPr="00483DEC">
        <w:rPr>
          <w:rFonts w:ascii="Times New Roman" w:hAnsi="Times New Roman" w:cs="Times New Roman"/>
          <w:sz w:val="24"/>
          <w:szCs w:val="24"/>
        </w:rPr>
        <w:t xml:space="preserve"> </w:t>
      </w:r>
      <w:r w:rsidR="00C9165E">
        <w:rPr>
          <w:rFonts w:ascii="Times New Roman" w:hAnsi="Times New Roman" w:cs="Times New Roman"/>
          <w:sz w:val="24"/>
          <w:szCs w:val="24"/>
        </w:rPr>
        <w:t>HUR-EG</w:t>
      </w:r>
      <w:r w:rsidR="00483DEC" w:rsidRPr="00483DEC">
        <w:rPr>
          <w:rFonts w:ascii="Times New Roman" w:hAnsi="Times New Roman" w:cs="Times New Roman"/>
          <w:sz w:val="24"/>
          <w:szCs w:val="24"/>
        </w:rPr>
        <w:t xml:space="preserve"> that FLMAs will use to influence FLTP programming decisions. </w:t>
      </w:r>
      <w:bookmarkEnd w:id="13"/>
    </w:p>
    <w:p w14:paraId="54509EC4" w14:textId="77777777" w:rsidR="00C263BF" w:rsidRPr="00BF5A01" w:rsidRDefault="00C263BF" w:rsidP="00BF5A01">
      <w:pPr>
        <w:pStyle w:val="NoSpacing"/>
        <w:numPr>
          <w:ilvl w:val="0"/>
          <w:numId w:val="16"/>
        </w:numPr>
        <w:spacing w:after="200" w:line="276" w:lineRule="auto"/>
        <w:jc w:val="both"/>
        <w:rPr>
          <w:rFonts w:ascii="Times New Roman" w:hAnsi="Times New Roman" w:cs="Times New Roman"/>
          <w:sz w:val="24"/>
          <w:szCs w:val="24"/>
        </w:rPr>
      </w:pPr>
      <w:r w:rsidRPr="00BF5A01">
        <w:rPr>
          <w:rFonts w:ascii="Times New Roman" w:hAnsi="Times New Roman" w:cs="Times New Roman"/>
          <w:sz w:val="24"/>
          <w:szCs w:val="24"/>
        </w:rPr>
        <w:t>Administration’s Strategic Priorities</w:t>
      </w:r>
    </w:p>
    <w:p w14:paraId="72879587" w14:textId="1FF2242D" w:rsidR="004D16B3" w:rsidRPr="00FB24BF" w:rsidRDefault="00C263BF" w:rsidP="00C263BF">
      <w:pPr>
        <w:pStyle w:val="NoSpacing"/>
        <w:spacing w:after="200" w:line="276" w:lineRule="auto"/>
        <w:ind w:left="360"/>
        <w:jc w:val="both"/>
        <w:rPr>
          <w:rFonts w:ascii="Times New Roman" w:hAnsi="Times New Roman" w:cs="Times New Roman"/>
          <w:sz w:val="24"/>
          <w:szCs w:val="24"/>
        </w:rPr>
      </w:pPr>
      <w:r w:rsidRPr="0036332E">
        <w:rPr>
          <w:rFonts w:ascii="Times New Roman" w:hAnsi="Times New Roman" w:cs="Times New Roman"/>
          <w:sz w:val="24"/>
          <w:szCs w:val="24"/>
        </w:rPr>
        <w:t xml:space="preserve">Describe your agency’s plan to </w:t>
      </w:r>
      <w:r w:rsidR="009F2A8B">
        <w:rPr>
          <w:rFonts w:ascii="Times New Roman" w:hAnsi="Times New Roman" w:cs="Times New Roman"/>
          <w:sz w:val="24"/>
          <w:szCs w:val="24"/>
        </w:rPr>
        <w:t xml:space="preserve">support the Administration’s priorities. </w:t>
      </w:r>
    </w:p>
    <w:p w14:paraId="0332A694" w14:textId="77777777" w:rsidR="007B15F0" w:rsidRPr="0076575F" w:rsidRDefault="008534B7" w:rsidP="00483DEC">
      <w:pPr>
        <w:pStyle w:val="Heading1"/>
        <w:tabs>
          <w:tab w:val="left" w:pos="720"/>
        </w:tabs>
        <w:spacing w:before="0" w:after="200"/>
        <w:rPr>
          <w:rFonts w:ascii="Times New Roman" w:hAnsi="Times New Roman" w:cs="Times New Roman"/>
          <w:color w:val="auto"/>
          <w:sz w:val="32"/>
          <w:szCs w:val="32"/>
        </w:rPr>
      </w:pPr>
      <w:bookmarkStart w:id="14" w:name="_Toc103684612"/>
      <w:r w:rsidRPr="009D62DE">
        <w:rPr>
          <w:rFonts w:ascii="Times New Roman" w:hAnsi="Times New Roman" w:cs="Times New Roman"/>
          <w:color w:val="auto"/>
          <w:sz w:val="32"/>
          <w:szCs w:val="32"/>
        </w:rPr>
        <w:t xml:space="preserve">FLMAs’ </w:t>
      </w:r>
      <w:r w:rsidR="00643712" w:rsidRPr="009D62DE">
        <w:rPr>
          <w:rFonts w:ascii="Times New Roman" w:hAnsi="Times New Roman" w:cs="Times New Roman"/>
          <w:color w:val="auto"/>
          <w:sz w:val="32"/>
          <w:szCs w:val="32"/>
        </w:rPr>
        <w:t>Secretar</w:t>
      </w:r>
      <w:r w:rsidRPr="009D62DE">
        <w:rPr>
          <w:rFonts w:ascii="Times New Roman" w:hAnsi="Times New Roman" w:cs="Times New Roman"/>
          <w:color w:val="auto"/>
          <w:sz w:val="32"/>
          <w:szCs w:val="32"/>
        </w:rPr>
        <w:t>ies</w:t>
      </w:r>
      <w:r w:rsidR="00643712" w:rsidRPr="009D62DE">
        <w:rPr>
          <w:rFonts w:ascii="Times New Roman" w:hAnsi="Times New Roman" w:cs="Times New Roman"/>
          <w:color w:val="auto"/>
          <w:sz w:val="32"/>
          <w:szCs w:val="32"/>
        </w:rPr>
        <w:t xml:space="preserve"> Performance Goals</w:t>
      </w:r>
      <w:bookmarkEnd w:id="14"/>
    </w:p>
    <w:p w14:paraId="54F8DF71" w14:textId="4A67355C" w:rsidR="001018C7" w:rsidRDefault="00CC18BD" w:rsidP="000040B4">
      <w:pPr>
        <w:pStyle w:val="NoSpacing"/>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The FLMAs’ investment strategy should address </w:t>
      </w:r>
      <w:r w:rsidRPr="00CC18BD">
        <w:rPr>
          <w:rFonts w:ascii="Times New Roman" w:hAnsi="Times New Roman" w:cs="Times New Roman"/>
          <w:sz w:val="24"/>
          <w:szCs w:val="24"/>
        </w:rPr>
        <w:t>the resource and asset management goals of the Secretary of the respective Federal land management agency.</w:t>
      </w:r>
      <w:r>
        <w:rPr>
          <w:rFonts w:ascii="Times New Roman" w:hAnsi="Times New Roman" w:cs="Times New Roman"/>
          <w:sz w:val="24"/>
          <w:szCs w:val="24"/>
        </w:rPr>
        <w:t xml:space="preserve"> </w:t>
      </w:r>
      <w:r w:rsidR="00367030" w:rsidRPr="009D62DE">
        <w:rPr>
          <w:rFonts w:ascii="Times New Roman" w:hAnsi="Times New Roman" w:cs="Times New Roman"/>
          <w:sz w:val="24"/>
          <w:szCs w:val="24"/>
        </w:rPr>
        <w:t xml:space="preserve">To avoid duplicative reporting, </w:t>
      </w:r>
      <w:r w:rsidR="00CE337D" w:rsidRPr="009D62DE">
        <w:rPr>
          <w:rFonts w:ascii="Times New Roman" w:hAnsi="Times New Roman" w:cs="Times New Roman"/>
          <w:sz w:val="24"/>
          <w:szCs w:val="24"/>
        </w:rPr>
        <w:t xml:space="preserve">FLMAs are encouraged to provide </w:t>
      </w:r>
      <w:r w:rsidR="00DC6483">
        <w:rPr>
          <w:rFonts w:ascii="Times New Roman" w:hAnsi="Times New Roman" w:cs="Times New Roman"/>
          <w:sz w:val="24"/>
          <w:szCs w:val="24"/>
        </w:rPr>
        <w:t>“</w:t>
      </w:r>
      <w:r w:rsidR="00CE337D" w:rsidRPr="009D62DE">
        <w:rPr>
          <w:rFonts w:ascii="Times New Roman" w:hAnsi="Times New Roman" w:cs="Times New Roman"/>
          <w:sz w:val="24"/>
          <w:szCs w:val="24"/>
        </w:rPr>
        <w:t>URL</w:t>
      </w:r>
      <w:r w:rsidR="00DC6483">
        <w:rPr>
          <w:rFonts w:ascii="Times New Roman" w:hAnsi="Times New Roman" w:cs="Times New Roman"/>
          <w:sz w:val="24"/>
          <w:szCs w:val="24"/>
        </w:rPr>
        <w:t>” link</w:t>
      </w:r>
      <w:r w:rsidR="00CE337D" w:rsidRPr="009D62DE">
        <w:rPr>
          <w:rFonts w:ascii="Times New Roman" w:hAnsi="Times New Roman" w:cs="Times New Roman"/>
          <w:sz w:val="24"/>
          <w:szCs w:val="24"/>
        </w:rPr>
        <w:t xml:space="preserve">s to </w:t>
      </w:r>
      <w:r w:rsidR="00475AB3">
        <w:rPr>
          <w:rFonts w:ascii="Times New Roman" w:hAnsi="Times New Roman" w:cs="Times New Roman"/>
          <w:sz w:val="24"/>
          <w:szCs w:val="24"/>
        </w:rPr>
        <w:t>their</w:t>
      </w:r>
      <w:r w:rsidR="00475AB3" w:rsidRPr="009D62DE">
        <w:rPr>
          <w:rFonts w:ascii="Times New Roman" w:hAnsi="Times New Roman" w:cs="Times New Roman"/>
          <w:sz w:val="24"/>
          <w:szCs w:val="24"/>
        </w:rPr>
        <w:t xml:space="preserve"> </w:t>
      </w:r>
      <w:bookmarkStart w:id="15" w:name="_Hlk99473696"/>
      <w:r w:rsidR="008D2989">
        <w:rPr>
          <w:rFonts w:ascii="Times New Roman" w:hAnsi="Times New Roman" w:cs="Times New Roman"/>
          <w:sz w:val="24"/>
          <w:szCs w:val="24"/>
        </w:rPr>
        <w:t>n</w:t>
      </w:r>
      <w:r w:rsidR="00CE337D" w:rsidRPr="009D62DE">
        <w:rPr>
          <w:rFonts w:ascii="Times New Roman" w:hAnsi="Times New Roman" w:cs="Times New Roman"/>
          <w:sz w:val="24"/>
          <w:szCs w:val="24"/>
        </w:rPr>
        <w:t xml:space="preserve">ational LRTPs </w:t>
      </w:r>
      <w:bookmarkEnd w:id="15"/>
      <w:r w:rsidR="00857CC2">
        <w:rPr>
          <w:rFonts w:ascii="Times New Roman" w:hAnsi="Times New Roman" w:cs="Times New Roman"/>
          <w:sz w:val="24"/>
          <w:szCs w:val="24"/>
        </w:rPr>
        <w:t>which</w:t>
      </w:r>
      <w:r w:rsidR="00367030" w:rsidRPr="009D62DE">
        <w:rPr>
          <w:rFonts w:ascii="Times New Roman" w:hAnsi="Times New Roman" w:cs="Times New Roman"/>
          <w:sz w:val="24"/>
          <w:szCs w:val="24"/>
        </w:rPr>
        <w:t xml:space="preserve"> contain </w:t>
      </w:r>
      <w:r w:rsidR="00475AB3">
        <w:rPr>
          <w:rFonts w:ascii="Times New Roman" w:hAnsi="Times New Roman" w:cs="Times New Roman"/>
          <w:sz w:val="24"/>
          <w:szCs w:val="24"/>
        </w:rPr>
        <w:t xml:space="preserve">the </w:t>
      </w:r>
      <w:r w:rsidR="00857CC2">
        <w:rPr>
          <w:rFonts w:ascii="Times New Roman" w:hAnsi="Times New Roman" w:cs="Times New Roman"/>
          <w:sz w:val="24"/>
          <w:szCs w:val="24"/>
        </w:rPr>
        <w:t xml:space="preserve">FLMA’s </w:t>
      </w:r>
      <w:r w:rsidR="00367030" w:rsidRPr="009D62DE">
        <w:rPr>
          <w:rFonts w:ascii="Times New Roman" w:hAnsi="Times New Roman" w:cs="Times New Roman"/>
          <w:sz w:val="24"/>
          <w:szCs w:val="24"/>
        </w:rPr>
        <w:t>Secretar</w:t>
      </w:r>
      <w:r w:rsidR="00857CC2">
        <w:rPr>
          <w:rFonts w:ascii="Times New Roman" w:hAnsi="Times New Roman" w:cs="Times New Roman"/>
          <w:sz w:val="24"/>
          <w:szCs w:val="24"/>
        </w:rPr>
        <w:t>ies’</w:t>
      </w:r>
      <w:r w:rsidR="00475AB3">
        <w:rPr>
          <w:rFonts w:ascii="Times New Roman" w:hAnsi="Times New Roman" w:cs="Times New Roman"/>
          <w:sz w:val="24"/>
          <w:szCs w:val="24"/>
        </w:rPr>
        <w:t xml:space="preserve"> </w:t>
      </w:r>
      <w:r w:rsidR="00367030" w:rsidRPr="009D62DE">
        <w:rPr>
          <w:rFonts w:ascii="Times New Roman" w:hAnsi="Times New Roman" w:cs="Times New Roman"/>
          <w:sz w:val="24"/>
          <w:szCs w:val="24"/>
        </w:rPr>
        <w:t xml:space="preserve">goals, measures and targets and are </w:t>
      </w:r>
      <w:r w:rsidR="00CE337D" w:rsidRPr="009D62DE">
        <w:rPr>
          <w:rFonts w:ascii="Times New Roman" w:hAnsi="Times New Roman" w:cs="Times New Roman"/>
          <w:sz w:val="24"/>
          <w:szCs w:val="24"/>
        </w:rPr>
        <w:t>completed</w:t>
      </w:r>
      <w:r w:rsidR="00367030" w:rsidRPr="009D62DE">
        <w:rPr>
          <w:rFonts w:ascii="Times New Roman" w:hAnsi="Times New Roman" w:cs="Times New Roman"/>
          <w:sz w:val="24"/>
          <w:szCs w:val="24"/>
        </w:rPr>
        <w:t xml:space="preserve"> and </w:t>
      </w:r>
      <w:r w:rsidR="00CE337D" w:rsidRPr="009D62DE">
        <w:rPr>
          <w:rFonts w:ascii="Times New Roman" w:hAnsi="Times New Roman" w:cs="Times New Roman"/>
          <w:sz w:val="24"/>
          <w:szCs w:val="24"/>
        </w:rPr>
        <w:t>current</w:t>
      </w:r>
      <w:r w:rsidR="00367030" w:rsidRPr="009D62DE">
        <w:rPr>
          <w:rFonts w:ascii="Times New Roman" w:hAnsi="Times New Roman" w:cs="Times New Roman"/>
          <w:sz w:val="24"/>
          <w:szCs w:val="24"/>
        </w:rPr>
        <w:t xml:space="preserve">. </w:t>
      </w:r>
      <w:r w:rsidR="00CE337D" w:rsidRPr="009D62DE">
        <w:rPr>
          <w:rFonts w:ascii="Times New Roman" w:hAnsi="Times New Roman" w:cs="Times New Roman"/>
          <w:sz w:val="24"/>
          <w:szCs w:val="24"/>
        </w:rPr>
        <w:t xml:space="preserve"> </w:t>
      </w:r>
      <w:r w:rsidR="00E253AD" w:rsidRPr="009D62DE">
        <w:rPr>
          <w:rFonts w:ascii="Times New Roman" w:hAnsi="Times New Roman" w:cs="Times New Roman"/>
          <w:sz w:val="24"/>
          <w:szCs w:val="24"/>
        </w:rPr>
        <w:t xml:space="preserve">Within </w:t>
      </w:r>
      <w:r w:rsidR="00CE337D" w:rsidRPr="009D62DE">
        <w:rPr>
          <w:rFonts w:ascii="Times New Roman" w:hAnsi="Times New Roman" w:cs="Times New Roman"/>
          <w:sz w:val="24"/>
          <w:szCs w:val="24"/>
        </w:rPr>
        <w:t xml:space="preserve">this section, </w:t>
      </w:r>
      <w:r w:rsidR="00475AB3">
        <w:rPr>
          <w:rFonts w:ascii="Times New Roman" w:hAnsi="Times New Roman" w:cs="Times New Roman"/>
          <w:sz w:val="24"/>
          <w:szCs w:val="24"/>
        </w:rPr>
        <w:t xml:space="preserve">the </w:t>
      </w:r>
      <w:r w:rsidR="00CE337D" w:rsidRPr="009D62DE">
        <w:rPr>
          <w:rFonts w:ascii="Times New Roman" w:hAnsi="Times New Roman" w:cs="Times New Roman"/>
          <w:sz w:val="24"/>
          <w:szCs w:val="24"/>
        </w:rPr>
        <w:t>FLMAs should provide the baseline FY</w:t>
      </w:r>
      <w:r w:rsidR="00475AB3">
        <w:rPr>
          <w:rFonts w:ascii="Times New Roman" w:hAnsi="Times New Roman" w:cs="Times New Roman"/>
          <w:sz w:val="24"/>
          <w:szCs w:val="24"/>
        </w:rPr>
        <w:t xml:space="preserve"> 20</w:t>
      </w:r>
      <w:r w:rsidR="00CE337D" w:rsidRPr="009D62DE">
        <w:rPr>
          <w:rFonts w:ascii="Times New Roman" w:hAnsi="Times New Roman" w:cs="Times New Roman"/>
          <w:sz w:val="24"/>
          <w:szCs w:val="24"/>
        </w:rPr>
        <w:t>22 measures and out</w:t>
      </w:r>
      <w:r w:rsidR="00475AB3">
        <w:rPr>
          <w:rFonts w:ascii="Times New Roman" w:hAnsi="Times New Roman" w:cs="Times New Roman"/>
          <w:sz w:val="24"/>
          <w:szCs w:val="24"/>
        </w:rPr>
        <w:t>-</w:t>
      </w:r>
      <w:r w:rsidR="00CE337D" w:rsidRPr="009D62DE">
        <w:rPr>
          <w:rFonts w:ascii="Times New Roman" w:hAnsi="Times New Roman" w:cs="Times New Roman"/>
          <w:sz w:val="24"/>
          <w:szCs w:val="24"/>
        </w:rPr>
        <w:t xml:space="preserve">year targets through the </w:t>
      </w:r>
      <w:r w:rsidR="007F484B">
        <w:rPr>
          <w:rFonts w:ascii="Times New Roman" w:hAnsi="Times New Roman" w:cs="Times New Roman"/>
          <w:sz w:val="24"/>
          <w:szCs w:val="24"/>
        </w:rPr>
        <w:t>IIJA</w:t>
      </w:r>
      <w:r w:rsidR="00CE337D" w:rsidRPr="009D62DE">
        <w:rPr>
          <w:rFonts w:ascii="Times New Roman" w:hAnsi="Times New Roman" w:cs="Times New Roman"/>
          <w:sz w:val="24"/>
          <w:szCs w:val="24"/>
        </w:rPr>
        <w:t xml:space="preserve">.  The frequency of data collection, subsequent analysis and reporting are sought for each measure.   </w:t>
      </w:r>
    </w:p>
    <w:p w14:paraId="4D294E39" w14:textId="5D627B5E" w:rsidR="008D18C5" w:rsidRPr="00703CE4" w:rsidRDefault="00DC74B4" w:rsidP="000040B4">
      <w:pPr>
        <w:pStyle w:val="Heading1"/>
        <w:tabs>
          <w:tab w:val="left" w:pos="720"/>
        </w:tabs>
        <w:spacing w:before="0" w:after="200"/>
        <w:rPr>
          <w:rFonts w:ascii="Times New Roman" w:hAnsi="Times New Roman" w:cs="Times New Roman"/>
          <w:color w:val="auto"/>
          <w:sz w:val="32"/>
          <w:szCs w:val="32"/>
        </w:rPr>
      </w:pPr>
      <w:bookmarkStart w:id="16" w:name="_Toc103684613"/>
      <w:r w:rsidRPr="00703CE4">
        <w:rPr>
          <w:rFonts w:ascii="Times New Roman" w:hAnsi="Times New Roman" w:cs="Times New Roman"/>
          <w:color w:val="auto"/>
          <w:sz w:val="32"/>
          <w:szCs w:val="32"/>
        </w:rPr>
        <w:t xml:space="preserve">Annual </w:t>
      </w:r>
      <w:r w:rsidR="008B0626">
        <w:rPr>
          <w:rFonts w:ascii="Times New Roman" w:hAnsi="Times New Roman" w:cs="Times New Roman"/>
          <w:color w:val="auto"/>
          <w:sz w:val="32"/>
          <w:szCs w:val="32"/>
        </w:rPr>
        <w:t xml:space="preserve">FLTP </w:t>
      </w:r>
      <w:r w:rsidR="006C29FE" w:rsidRPr="00703CE4">
        <w:rPr>
          <w:rFonts w:ascii="Times New Roman" w:hAnsi="Times New Roman" w:cs="Times New Roman"/>
          <w:color w:val="auto"/>
          <w:sz w:val="32"/>
          <w:szCs w:val="32"/>
        </w:rPr>
        <w:t>Accomplishments Report</w:t>
      </w:r>
      <w:bookmarkEnd w:id="16"/>
    </w:p>
    <w:p w14:paraId="741A8B89" w14:textId="6B7DFA87" w:rsidR="0066337A" w:rsidRDefault="00D84C98" w:rsidP="0066337A">
      <w:pPr>
        <w:pStyle w:val="NoSpacing"/>
        <w:spacing w:after="200" w:line="276" w:lineRule="auto"/>
        <w:jc w:val="both"/>
        <w:rPr>
          <w:rFonts w:ascii="Times New Roman" w:hAnsi="Times New Roman" w:cs="Times New Roman"/>
          <w:sz w:val="24"/>
          <w:szCs w:val="24"/>
        </w:rPr>
      </w:pPr>
      <w:r w:rsidRPr="009D62DE">
        <w:rPr>
          <w:rFonts w:ascii="Times New Roman" w:hAnsi="Times New Roman" w:cs="Times New Roman"/>
          <w:sz w:val="24"/>
          <w:szCs w:val="24"/>
        </w:rPr>
        <w:t>To successfully administer a performance</w:t>
      </w:r>
      <w:r w:rsidR="00121C9C" w:rsidRPr="009D62DE">
        <w:rPr>
          <w:rFonts w:ascii="Times New Roman" w:hAnsi="Times New Roman" w:cs="Times New Roman"/>
          <w:sz w:val="24"/>
          <w:szCs w:val="24"/>
        </w:rPr>
        <w:t>-</w:t>
      </w:r>
      <w:r w:rsidRPr="009D62DE">
        <w:rPr>
          <w:rFonts w:ascii="Times New Roman" w:hAnsi="Times New Roman" w:cs="Times New Roman"/>
          <w:sz w:val="24"/>
          <w:szCs w:val="24"/>
        </w:rPr>
        <w:t>based program, data is needed to gauge progress and</w:t>
      </w:r>
      <w:r w:rsidR="00121C9C" w:rsidRPr="009D62DE">
        <w:rPr>
          <w:rFonts w:ascii="Times New Roman" w:hAnsi="Times New Roman" w:cs="Times New Roman"/>
          <w:sz w:val="24"/>
          <w:szCs w:val="24"/>
        </w:rPr>
        <w:t xml:space="preserve"> the </w:t>
      </w:r>
      <w:r w:rsidR="00F07CA0" w:rsidRPr="009D62DE">
        <w:rPr>
          <w:rFonts w:ascii="Times New Roman" w:hAnsi="Times New Roman" w:cs="Times New Roman"/>
          <w:sz w:val="24"/>
          <w:szCs w:val="24"/>
        </w:rPr>
        <w:t xml:space="preserve">overall </w:t>
      </w:r>
      <w:r w:rsidR="00121C9C" w:rsidRPr="009D62DE">
        <w:rPr>
          <w:rFonts w:ascii="Times New Roman" w:hAnsi="Times New Roman" w:cs="Times New Roman"/>
          <w:sz w:val="24"/>
          <w:szCs w:val="24"/>
        </w:rPr>
        <w:t>health of the program</w:t>
      </w:r>
      <w:r w:rsidR="00F07CA0" w:rsidRPr="009D62DE">
        <w:rPr>
          <w:rFonts w:ascii="Times New Roman" w:hAnsi="Times New Roman" w:cs="Times New Roman"/>
          <w:sz w:val="24"/>
          <w:szCs w:val="24"/>
        </w:rPr>
        <w:t xml:space="preserve"> annually</w:t>
      </w:r>
      <w:r w:rsidR="00121C9C" w:rsidRPr="009D62DE">
        <w:rPr>
          <w:rFonts w:ascii="Times New Roman" w:hAnsi="Times New Roman" w:cs="Times New Roman"/>
          <w:sz w:val="24"/>
          <w:szCs w:val="24"/>
        </w:rPr>
        <w:t xml:space="preserve">.  </w:t>
      </w:r>
      <w:r w:rsidR="00C4021C">
        <w:rPr>
          <w:rFonts w:ascii="Times New Roman" w:hAnsi="Times New Roman" w:cs="Times New Roman"/>
          <w:sz w:val="24"/>
          <w:szCs w:val="24"/>
        </w:rPr>
        <w:t xml:space="preserve">The </w:t>
      </w:r>
      <w:r w:rsidR="00C4021C" w:rsidRPr="008E7977">
        <w:rPr>
          <w:rFonts w:ascii="Times New Roman" w:hAnsi="Times New Roman" w:cs="Times New Roman"/>
          <w:sz w:val="24"/>
          <w:szCs w:val="24"/>
        </w:rPr>
        <w:t xml:space="preserve">Annual </w:t>
      </w:r>
      <w:r w:rsidR="008B0626">
        <w:rPr>
          <w:rFonts w:ascii="Times New Roman" w:hAnsi="Times New Roman" w:cs="Times New Roman"/>
          <w:sz w:val="24"/>
          <w:szCs w:val="24"/>
        </w:rPr>
        <w:t xml:space="preserve">FLTP </w:t>
      </w:r>
      <w:r w:rsidR="00C4021C">
        <w:rPr>
          <w:rFonts w:ascii="Times New Roman" w:hAnsi="Times New Roman" w:cs="Times New Roman"/>
          <w:sz w:val="24"/>
          <w:szCs w:val="24"/>
        </w:rPr>
        <w:t xml:space="preserve">Accomplishment Report provides an opportunity for the FLMAs to highlight the </w:t>
      </w:r>
      <w:r w:rsidR="00D65CC3">
        <w:rPr>
          <w:rFonts w:ascii="Times New Roman" w:hAnsi="Times New Roman" w:cs="Times New Roman"/>
          <w:sz w:val="24"/>
          <w:szCs w:val="24"/>
        </w:rPr>
        <w:t xml:space="preserve">improvements to their transportation system </w:t>
      </w:r>
      <w:r w:rsidR="00C4021C">
        <w:rPr>
          <w:rFonts w:ascii="Times New Roman" w:hAnsi="Times New Roman" w:cs="Times New Roman"/>
          <w:sz w:val="24"/>
          <w:szCs w:val="24"/>
        </w:rPr>
        <w:t xml:space="preserve">achieved </w:t>
      </w:r>
      <w:r w:rsidR="008B0626">
        <w:rPr>
          <w:rFonts w:ascii="Times New Roman" w:hAnsi="Times New Roman" w:cs="Times New Roman"/>
          <w:sz w:val="24"/>
          <w:szCs w:val="24"/>
        </w:rPr>
        <w:t>by means of</w:t>
      </w:r>
      <w:r w:rsidR="00C4021C">
        <w:rPr>
          <w:rFonts w:ascii="Times New Roman" w:hAnsi="Times New Roman" w:cs="Times New Roman"/>
          <w:sz w:val="24"/>
          <w:szCs w:val="24"/>
        </w:rPr>
        <w:t xml:space="preserve"> the </w:t>
      </w:r>
      <w:r w:rsidR="00D65CC3">
        <w:rPr>
          <w:rFonts w:ascii="Times New Roman" w:hAnsi="Times New Roman" w:cs="Times New Roman"/>
          <w:sz w:val="24"/>
          <w:szCs w:val="24"/>
        </w:rPr>
        <w:t>annual FLTP</w:t>
      </w:r>
      <w:r w:rsidR="00C4021C">
        <w:rPr>
          <w:rFonts w:ascii="Times New Roman" w:hAnsi="Times New Roman" w:cs="Times New Roman"/>
          <w:sz w:val="24"/>
          <w:szCs w:val="24"/>
        </w:rPr>
        <w:t xml:space="preserve">. </w:t>
      </w:r>
      <w:r w:rsidR="00D65CC3">
        <w:rPr>
          <w:rFonts w:ascii="Times New Roman" w:hAnsi="Times New Roman" w:cs="Times New Roman"/>
          <w:sz w:val="24"/>
          <w:szCs w:val="24"/>
        </w:rPr>
        <w:t>Through this</w:t>
      </w:r>
      <w:r w:rsidR="001C57D5">
        <w:rPr>
          <w:rFonts w:ascii="Times New Roman" w:hAnsi="Times New Roman" w:cs="Times New Roman"/>
          <w:sz w:val="24"/>
          <w:szCs w:val="24"/>
        </w:rPr>
        <w:t xml:space="preserve"> </w:t>
      </w:r>
      <w:r w:rsidR="00D65CC3">
        <w:rPr>
          <w:rFonts w:ascii="Times New Roman" w:hAnsi="Times New Roman" w:cs="Times New Roman"/>
          <w:sz w:val="24"/>
          <w:szCs w:val="24"/>
        </w:rPr>
        <w:t>r</w:t>
      </w:r>
      <w:r w:rsidR="001C57D5">
        <w:rPr>
          <w:rFonts w:ascii="Times New Roman" w:hAnsi="Times New Roman" w:cs="Times New Roman"/>
          <w:sz w:val="24"/>
          <w:szCs w:val="24"/>
        </w:rPr>
        <w:t xml:space="preserve">eport, </w:t>
      </w:r>
      <w:r w:rsidR="001C57D5" w:rsidRPr="00BB0AE6">
        <w:rPr>
          <w:rFonts w:ascii="Times New Roman" w:hAnsi="Times New Roman" w:cs="Times New Roman"/>
          <w:sz w:val="24"/>
          <w:szCs w:val="24"/>
        </w:rPr>
        <w:t>e</w:t>
      </w:r>
      <w:r w:rsidR="004F1525" w:rsidRPr="00BB0AE6">
        <w:rPr>
          <w:rFonts w:ascii="Times New Roman" w:hAnsi="Times New Roman" w:cs="Times New Roman"/>
          <w:sz w:val="24"/>
          <w:szCs w:val="24"/>
        </w:rPr>
        <w:t>xplain how the annual FLTP addressed the overall transportation needs of the FLMA’s network</w:t>
      </w:r>
      <w:r w:rsidR="004F1525" w:rsidRPr="008B0626">
        <w:rPr>
          <w:rFonts w:ascii="Times New Roman" w:hAnsi="Times New Roman" w:cs="Times New Roman"/>
          <w:sz w:val="24"/>
          <w:szCs w:val="24"/>
        </w:rPr>
        <w:t xml:space="preserve">. </w:t>
      </w:r>
      <w:r w:rsidR="00573B3E" w:rsidRPr="008B0626">
        <w:rPr>
          <w:rFonts w:ascii="Times New Roman" w:hAnsi="Times New Roman" w:cs="Times New Roman"/>
          <w:sz w:val="24"/>
          <w:szCs w:val="24"/>
        </w:rPr>
        <w:t xml:space="preserve">In addition to the </w:t>
      </w:r>
      <w:r w:rsidR="004F1525" w:rsidRPr="008B0626">
        <w:rPr>
          <w:rFonts w:ascii="Times New Roman" w:hAnsi="Times New Roman" w:cs="Times New Roman"/>
          <w:sz w:val="24"/>
          <w:szCs w:val="24"/>
        </w:rPr>
        <w:t xml:space="preserve">projects </w:t>
      </w:r>
      <w:r w:rsidR="004F1525" w:rsidRPr="008B0626">
        <w:rPr>
          <w:rFonts w:ascii="Times New Roman" w:hAnsi="Times New Roman" w:cs="Times New Roman"/>
          <w:sz w:val="24"/>
          <w:szCs w:val="24"/>
        </w:rPr>
        <w:lastRenderedPageBreak/>
        <w:t>delivered</w:t>
      </w:r>
      <w:r w:rsidR="00573B3E" w:rsidRPr="008B0626">
        <w:rPr>
          <w:rFonts w:ascii="Times New Roman" w:hAnsi="Times New Roman" w:cs="Times New Roman"/>
          <w:sz w:val="24"/>
          <w:szCs w:val="24"/>
        </w:rPr>
        <w:t>, t</w:t>
      </w:r>
      <w:r w:rsidR="00C27BB9" w:rsidRPr="008B0626">
        <w:rPr>
          <w:rFonts w:ascii="Times New Roman" w:hAnsi="Times New Roman" w:cs="Times New Roman"/>
          <w:sz w:val="24"/>
          <w:szCs w:val="24"/>
        </w:rPr>
        <w:t xml:space="preserve">he report </w:t>
      </w:r>
      <w:r w:rsidR="0066337A" w:rsidRPr="008B0626">
        <w:rPr>
          <w:rFonts w:ascii="Times New Roman" w:hAnsi="Times New Roman" w:cs="Times New Roman"/>
          <w:sz w:val="24"/>
          <w:szCs w:val="24"/>
        </w:rPr>
        <w:t xml:space="preserve">shall </w:t>
      </w:r>
      <w:r w:rsidR="00C27BB9" w:rsidRPr="008B0626">
        <w:rPr>
          <w:rFonts w:ascii="Times New Roman" w:hAnsi="Times New Roman" w:cs="Times New Roman"/>
          <w:sz w:val="24"/>
          <w:szCs w:val="24"/>
        </w:rPr>
        <w:t>p</w:t>
      </w:r>
      <w:r w:rsidR="00F07CA0" w:rsidRPr="008B0626">
        <w:rPr>
          <w:rFonts w:ascii="Times New Roman" w:hAnsi="Times New Roman" w:cs="Times New Roman"/>
          <w:sz w:val="24"/>
          <w:szCs w:val="24"/>
        </w:rPr>
        <w:t xml:space="preserve">rovide </w:t>
      </w:r>
      <w:r w:rsidR="00002986" w:rsidRPr="008B0626">
        <w:rPr>
          <w:rFonts w:ascii="Times New Roman" w:hAnsi="Times New Roman" w:cs="Times New Roman"/>
          <w:sz w:val="24"/>
          <w:szCs w:val="24"/>
        </w:rPr>
        <w:t xml:space="preserve">current </w:t>
      </w:r>
      <w:r w:rsidR="0066337A" w:rsidRPr="008B0626">
        <w:rPr>
          <w:rFonts w:ascii="Times New Roman" w:hAnsi="Times New Roman" w:cs="Times New Roman"/>
          <w:sz w:val="24"/>
          <w:szCs w:val="24"/>
        </w:rPr>
        <w:t>condition</w:t>
      </w:r>
      <w:r w:rsidR="00F07CA0" w:rsidRPr="008B0626">
        <w:rPr>
          <w:rFonts w:ascii="Times New Roman" w:hAnsi="Times New Roman" w:cs="Times New Roman"/>
          <w:sz w:val="24"/>
          <w:szCs w:val="24"/>
        </w:rPr>
        <w:t xml:space="preserve"> results </w:t>
      </w:r>
      <w:r w:rsidR="0066337A" w:rsidRPr="008B0626">
        <w:rPr>
          <w:rFonts w:ascii="Times New Roman" w:hAnsi="Times New Roman" w:cs="Times New Roman"/>
          <w:sz w:val="24"/>
          <w:szCs w:val="24"/>
        </w:rPr>
        <w:t xml:space="preserve">compared with </w:t>
      </w:r>
      <w:r w:rsidR="00F07CA0" w:rsidRPr="00A653BF">
        <w:rPr>
          <w:rFonts w:ascii="Times New Roman" w:hAnsi="Times New Roman" w:cs="Times New Roman"/>
          <w:sz w:val="24"/>
          <w:szCs w:val="24"/>
        </w:rPr>
        <w:t>the</w:t>
      </w:r>
      <w:r w:rsidR="00756D79" w:rsidRPr="00A653BF">
        <w:rPr>
          <w:rFonts w:ascii="Times New Roman" w:hAnsi="Times New Roman" w:cs="Times New Roman"/>
        </w:rPr>
        <w:t xml:space="preserve"> </w:t>
      </w:r>
      <w:r w:rsidR="00A653BF" w:rsidRPr="00A653BF">
        <w:rPr>
          <w:rFonts w:ascii="Times New Roman" w:hAnsi="Times New Roman" w:cs="Times New Roman"/>
        </w:rPr>
        <w:t>5-year</w:t>
      </w:r>
      <w:r w:rsidR="00A653BF">
        <w:t xml:space="preserve"> </w:t>
      </w:r>
      <w:r w:rsidR="00756D79" w:rsidRPr="008B0626">
        <w:rPr>
          <w:rFonts w:ascii="Times New Roman" w:hAnsi="Times New Roman" w:cs="Times New Roman"/>
          <w:sz w:val="24"/>
          <w:szCs w:val="24"/>
        </w:rPr>
        <w:t>target set for 202</w:t>
      </w:r>
      <w:r w:rsidR="00A653BF">
        <w:rPr>
          <w:rFonts w:ascii="Times New Roman" w:hAnsi="Times New Roman" w:cs="Times New Roman"/>
          <w:sz w:val="24"/>
          <w:szCs w:val="24"/>
        </w:rPr>
        <w:t>6</w:t>
      </w:r>
      <w:r w:rsidR="00F07CA0" w:rsidRPr="008B0626">
        <w:rPr>
          <w:rFonts w:ascii="Times New Roman" w:hAnsi="Times New Roman" w:cs="Times New Roman"/>
          <w:sz w:val="24"/>
          <w:szCs w:val="24"/>
        </w:rPr>
        <w:t xml:space="preserve"> </w:t>
      </w:r>
      <w:r w:rsidR="00756D79" w:rsidRPr="008B0626">
        <w:rPr>
          <w:rFonts w:ascii="Times New Roman" w:hAnsi="Times New Roman" w:cs="Times New Roman"/>
          <w:sz w:val="24"/>
          <w:szCs w:val="24"/>
        </w:rPr>
        <w:t>and</w:t>
      </w:r>
      <w:r w:rsidR="00F07CA0" w:rsidRPr="008B0626">
        <w:rPr>
          <w:rFonts w:ascii="Times New Roman" w:hAnsi="Times New Roman" w:cs="Times New Roman"/>
          <w:sz w:val="24"/>
          <w:szCs w:val="24"/>
        </w:rPr>
        <w:t xml:space="preserve"> established </w:t>
      </w:r>
      <w:r w:rsidR="001C57D5" w:rsidRPr="008B0626">
        <w:rPr>
          <w:rFonts w:ascii="Times New Roman" w:hAnsi="Times New Roman" w:cs="Times New Roman"/>
          <w:sz w:val="24"/>
          <w:szCs w:val="24"/>
        </w:rPr>
        <w:t xml:space="preserve">by the FLMAs </w:t>
      </w:r>
      <w:r w:rsidR="00F07CA0" w:rsidRPr="008B0626">
        <w:rPr>
          <w:rFonts w:ascii="Times New Roman" w:hAnsi="Times New Roman" w:cs="Times New Roman"/>
          <w:sz w:val="24"/>
          <w:szCs w:val="24"/>
        </w:rPr>
        <w:t xml:space="preserve">in </w:t>
      </w:r>
      <w:r w:rsidR="001C57D5" w:rsidRPr="008B0626">
        <w:rPr>
          <w:rFonts w:ascii="Times New Roman" w:hAnsi="Times New Roman" w:cs="Times New Roman"/>
          <w:sz w:val="24"/>
          <w:szCs w:val="24"/>
        </w:rPr>
        <w:t>Y</w:t>
      </w:r>
      <w:r w:rsidR="00F07CA0" w:rsidRPr="008B0626">
        <w:rPr>
          <w:rFonts w:ascii="Times New Roman" w:hAnsi="Times New Roman" w:cs="Times New Roman"/>
          <w:sz w:val="24"/>
          <w:szCs w:val="24"/>
        </w:rPr>
        <w:t xml:space="preserve">ear 1 of the </w:t>
      </w:r>
      <w:r w:rsidR="007F484B" w:rsidRPr="008B0626">
        <w:rPr>
          <w:rFonts w:ascii="Times New Roman" w:hAnsi="Times New Roman" w:cs="Times New Roman"/>
          <w:sz w:val="24"/>
          <w:szCs w:val="24"/>
        </w:rPr>
        <w:t>IIJA</w:t>
      </w:r>
      <w:r w:rsidR="0066337A" w:rsidRPr="008B0626">
        <w:rPr>
          <w:rFonts w:ascii="Times New Roman" w:hAnsi="Times New Roman" w:cs="Times New Roman"/>
          <w:sz w:val="24"/>
          <w:szCs w:val="24"/>
        </w:rPr>
        <w:t xml:space="preserve">. </w:t>
      </w:r>
      <w:r w:rsidR="00573B3E" w:rsidRPr="008B0626">
        <w:rPr>
          <w:rFonts w:ascii="Times New Roman" w:hAnsi="Times New Roman" w:cs="Times New Roman"/>
          <w:sz w:val="24"/>
          <w:szCs w:val="24"/>
        </w:rPr>
        <w:t>At a minimum</w:t>
      </w:r>
      <w:r w:rsidR="004F1525" w:rsidRPr="008B0626">
        <w:rPr>
          <w:rFonts w:ascii="Times New Roman" w:hAnsi="Times New Roman" w:cs="Times New Roman"/>
          <w:sz w:val="24"/>
          <w:szCs w:val="24"/>
        </w:rPr>
        <w:t xml:space="preserve">, </w:t>
      </w:r>
      <w:r w:rsidR="00C4021C" w:rsidRPr="008B0626">
        <w:rPr>
          <w:rFonts w:ascii="Times New Roman" w:hAnsi="Times New Roman" w:cs="Times New Roman"/>
          <w:sz w:val="24"/>
          <w:szCs w:val="24"/>
        </w:rPr>
        <w:t>the report should compare</w:t>
      </w:r>
      <w:r w:rsidR="004F1525" w:rsidRPr="008B0626">
        <w:rPr>
          <w:rFonts w:ascii="Times New Roman" w:hAnsi="Times New Roman" w:cs="Times New Roman"/>
          <w:sz w:val="24"/>
          <w:szCs w:val="24"/>
        </w:rPr>
        <w:t xml:space="preserve"> the current condition results for </w:t>
      </w:r>
      <w:r w:rsidR="00C4021C" w:rsidRPr="008B0626">
        <w:rPr>
          <w:rFonts w:ascii="Times New Roman" w:hAnsi="Times New Roman" w:cs="Times New Roman"/>
          <w:sz w:val="24"/>
          <w:szCs w:val="24"/>
        </w:rPr>
        <w:t xml:space="preserve">each asset category accessing </w:t>
      </w:r>
      <w:r w:rsidR="004F1525" w:rsidRPr="008B0626">
        <w:rPr>
          <w:rFonts w:ascii="Times New Roman" w:hAnsi="Times New Roman" w:cs="Times New Roman"/>
          <w:sz w:val="24"/>
          <w:szCs w:val="24"/>
        </w:rPr>
        <w:t>HUR</w:t>
      </w:r>
      <w:r w:rsidR="00C4021C" w:rsidRPr="008B0626">
        <w:rPr>
          <w:rFonts w:ascii="Times New Roman" w:hAnsi="Times New Roman" w:cs="Times New Roman"/>
          <w:sz w:val="24"/>
          <w:szCs w:val="24"/>
        </w:rPr>
        <w:t>-</w:t>
      </w:r>
      <w:r w:rsidR="004F1525" w:rsidRPr="008B0626">
        <w:rPr>
          <w:rFonts w:ascii="Times New Roman" w:hAnsi="Times New Roman" w:cs="Times New Roman"/>
          <w:sz w:val="24"/>
          <w:szCs w:val="24"/>
        </w:rPr>
        <w:t>EG with the 202</w:t>
      </w:r>
      <w:r w:rsidR="00A653BF">
        <w:rPr>
          <w:rFonts w:ascii="Times New Roman" w:hAnsi="Times New Roman" w:cs="Times New Roman"/>
          <w:sz w:val="24"/>
          <w:szCs w:val="24"/>
        </w:rPr>
        <w:t>6</w:t>
      </w:r>
      <w:r w:rsidR="004F1525" w:rsidRPr="008B0626">
        <w:rPr>
          <w:rFonts w:ascii="Times New Roman" w:hAnsi="Times New Roman" w:cs="Times New Roman"/>
          <w:sz w:val="24"/>
          <w:szCs w:val="24"/>
        </w:rPr>
        <w:t xml:space="preserve"> target</w:t>
      </w:r>
      <w:r w:rsidR="008B0626" w:rsidRPr="008B0626">
        <w:rPr>
          <w:rFonts w:ascii="Times New Roman" w:hAnsi="Times New Roman" w:cs="Times New Roman"/>
          <w:sz w:val="24"/>
          <w:szCs w:val="24"/>
        </w:rPr>
        <w:t>s</w:t>
      </w:r>
      <w:r w:rsidR="004F1525" w:rsidRPr="008B0626">
        <w:rPr>
          <w:rFonts w:ascii="Times New Roman" w:hAnsi="Times New Roman" w:cs="Times New Roman"/>
          <w:sz w:val="24"/>
          <w:szCs w:val="24"/>
        </w:rPr>
        <w:t xml:space="preserve">. </w:t>
      </w:r>
      <w:r w:rsidR="0066337A">
        <w:rPr>
          <w:rFonts w:ascii="Times New Roman" w:hAnsi="Times New Roman" w:cs="Times New Roman"/>
          <w:sz w:val="24"/>
          <w:szCs w:val="24"/>
        </w:rPr>
        <w:t xml:space="preserve">This </w:t>
      </w:r>
      <w:r w:rsidR="008A21F5" w:rsidRPr="008A21F5">
        <w:rPr>
          <w:rFonts w:ascii="Times New Roman" w:hAnsi="Times New Roman" w:cs="Times New Roman"/>
          <w:sz w:val="24"/>
          <w:szCs w:val="24"/>
        </w:rPr>
        <w:t xml:space="preserve">annualized </w:t>
      </w:r>
      <w:r w:rsidR="00002986">
        <w:rPr>
          <w:rFonts w:ascii="Times New Roman" w:hAnsi="Times New Roman" w:cs="Times New Roman"/>
          <w:sz w:val="24"/>
          <w:szCs w:val="24"/>
        </w:rPr>
        <w:t>condition</w:t>
      </w:r>
      <w:r w:rsidR="00002986" w:rsidRPr="008A21F5">
        <w:rPr>
          <w:rFonts w:ascii="Times New Roman" w:hAnsi="Times New Roman" w:cs="Times New Roman"/>
          <w:sz w:val="24"/>
          <w:szCs w:val="24"/>
        </w:rPr>
        <w:t xml:space="preserve"> </w:t>
      </w:r>
      <w:r w:rsidR="008A21F5" w:rsidRPr="008A21F5">
        <w:rPr>
          <w:rFonts w:ascii="Times New Roman" w:hAnsi="Times New Roman" w:cs="Times New Roman"/>
          <w:sz w:val="24"/>
          <w:szCs w:val="24"/>
        </w:rPr>
        <w:t xml:space="preserve">data </w:t>
      </w:r>
      <w:r w:rsidR="00002986">
        <w:rPr>
          <w:rFonts w:ascii="Times New Roman" w:hAnsi="Times New Roman" w:cs="Times New Roman"/>
          <w:sz w:val="24"/>
          <w:szCs w:val="24"/>
        </w:rPr>
        <w:t xml:space="preserve">over the multiple years of the </w:t>
      </w:r>
      <w:r w:rsidR="007F484B">
        <w:rPr>
          <w:rFonts w:ascii="Times New Roman" w:hAnsi="Times New Roman" w:cs="Times New Roman"/>
          <w:sz w:val="24"/>
          <w:szCs w:val="24"/>
        </w:rPr>
        <w:t>IIJA</w:t>
      </w:r>
      <w:r w:rsidR="00002986">
        <w:rPr>
          <w:rFonts w:ascii="Times New Roman" w:hAnsi="Times New Roman" w:cs="Times New Roman"/>
          <w:sz w:val="24"/>
          <w:szCs w:val="24"/>
        </w:rPr>
        <w:t xml:space="preserve"> will show how the data is </w:t>
      </w:r>
      <w:r w:rsidR="008A21F5" w:rsidRPr="008A21F5">
        <w:rPr>
          <w:rFonts w:ascii="Times New Roman" w:hAnsi="Times New Roman" w:cs="Times New Roman"/>
          <w:sz w:val="24"/>
          <w:szCs w:val="24"/>
        </w:rPr>
        <w:t xml:space="preserve">trending </w:t>
      </w:r>
      <w:r w:rsidR="00002986">
        <w:rPr>
          <w:rFonts w:ascii="Times New Roman" w:hAnsi="Times New Roman" w:cs="Times New Roman"/>
          <w:sz w:val="24"/>
          <w:szCs w:val="24"/>
        </w:rPr>
        <w:t>in relation to the targets</w:t>
      </w:r>
      <w:r w:rsidR="002A5007">
        <w:rPr>
          <w:rFonts w:ascii="Times New Roman" w:hAnsi="Times New Roman" w:cs="Times New Roman"/>
          <w:sz w:val="24"/>
          <w:szCs w:val="24"/>
        </w:rPr>
        <w:t>.</w:t>
      </w:r>
      <w:r w:rsidR="008A21F5">
        <w:rPr>
          <w:rFonts w:ascii="Times New Roman" w:hAnsi="Times New Roman" w:cs="Times New Roman"/>
          <w:sz w:val="24"/>
          <w:szCs w:val="24"/>
        </w:rPr>
        <w:t xml:space="preserve"> </w:t>
      </w:r>
      <w:r w:rsidR="00F07CA0" w:rsidRPr="008A21F5">
        <w:rPr>
          <w:rFonts w:ascii="Times New Roman" w:hAnsi="Times New Roman" w:cs="Times New Roman"/>
          <w:sz w:val="24"/>
          <w:szCs w:val="24"/>
        </w:rPr>
        <w:t xml:space="preserve"> </w:t>
      </w:r>
      <w:r w:rsidR="00F07CA0" w:rsidRPr="00F46BAA">
        <w:rPr>
          <w:rFonts w:ascii="Times New Roman" w:hAnsi="Times New Roman" w:cs="Times New Roman"/>
          <w:sz w:val="24"/>
          <w:szCs w:val="24"/>
        </w:rPr>
        <w:t xml:space="preserve">An example </w:t>
      </w:r>
      <w:r w:rsidR="002A5007">
        <w:rPr>
          <w:rFonts w:ascii="Times New Roman" w:hAnsi="Times New Roman" w:cs="Times New Roman"/>
          <w:sz w:val="24"/>
          <w:szCs w:val="24"/>
        </w:rPr>
        <w:t xml:space="preserve">of baseline targets compared to annualized target data </w:t>
      </w:r>
      <w:r w:rsidR="00F07CA0" w:rsidRPr="00F46BAA">
        <w:rPr>
          <w:rFonts w:ascii="Times New Roman" w:hAnsi="Times New Roman" w:cs="Times New Roman"/>
          <w:sz w:val="24"/>
          <w:szCs w:val="24"/>
        </w:rPr>
        <w:t xml:space="preserve">is provided </w:t>
      </w:r>
      <w:r w:rsidR="002A5007">
        <w:rPr>
          <w:rFonts w:ascii="Times New Roman" w:hAnsi="Times New Roman" w:cs="Times New Roman"/>
          <w:sz w:val="24"/>
          <w:szCs w:val="24"/>
        </w:rPr>
        <w:t xml:space="preserve">in Appendix </w:t>
      </w:r>
      <w:r w:rsidR="008E7977">
        <w:rPr>
          <w:rFonts w:ascii="Times New Roman" w:hAnsi="Times New Roman" w:cs="Times New Roman"/>
          <w:sz w:val="24"/>
          <w:szCs w:val="24"/>
        </w:rPr>
        <w:t>C</w:t>
      </w:r>
      <w:r w:rsidR="00F07CA0" w:rsidRPr="00F46BAA">
        <w:rPr>
          <w:rFonts w:ascii="Times New Roman" w:hAnsi="Times New Roman" w:cs="Times New Roman"/>
          <w:sz w:val="24"/>
          <w:szCs w:val="24"/>
        </w:rPr>
        <w:t>.</w:t>
      </w:r>
      <w:r w:rsidR="00F07CA0" w:rsidRPr="008A21F5">
        <w:rPr>
          <w:rFonts w:ascii="Times New Roman" w:hAnsi="Times New Roman" w:cs="Times New Roman"/>
          <w:sz w:val="24"/>
          <w:szCs w:val="24"/>
        </w:rPr>
        <w:t xml:space="preserve">  Through program goals, measures, and </w:t>
      </w:r>
      <w:r w:rsidR="00F07CA0" w:rsidRPr="00D14B44">
        <w:rPr>
          <w:rFonts w:ascii="Times New Roman" w:hAnsi="Times New Roman" w:cs="Times New Roman"/>
          <w:sz w:val="24"/>
          <w:szCs w:val="24"/>
        </w:rPr>
        <w:t xml:space="preserve">targets, </w:t>
      </w:r>
      <w:r w:rsidR="00121C9C" w:rsidRPr="00BF046D">
        <w:rPr>
          <w:rFonts w:ascii="Times New Roman" w:hAnsi="Times New Roman" w:cs="Times New Roman"/>
          <w:sz w:val="24"/>
          <w:szCs w:val="24"/>
        </w:rPr>
        <w:t xml:space="preserve">FLH and </w:t>
      </w:r>
      <w:r w:rsidR="00322B51" w:rsidRPr="00166BD3">
        <w:rPr>
          <w:rFonts w:ascii="Times New Roman" w:hAnsi="Times New Roman" w:cs="Times New Roman"/>
          <w:sz w:val="24"/>
          <w:szCs w:val="24"/>
        </w:rPr>
        <w:t>the FLMAs</w:t>
      </w:r>
      <w:r w:rsidR="00322B51" w:rsidRPr="00BF046D">
        <w:rPr>
          <w:rFonts w:ascii="Times New Roman" w:hAnsi="Times New Roman" w:cs="Times New Roman"/>
          <w:sz w:val="24"/>
          <w:szCs w:val="24"/>
        </w:rPr>
        <w:t xml:space="preserve"> </w:t>
      </w:r>
      <w:r w:rsidR="00121C9C" w:rsidRPr="00BF046D">
        <w:rPr>
          <w:rFonts w:ascii="Times New Roman" w:hAnsi="Times New Roman" w:cs="Times New Roman"/>
          <w:sz w:val="24"/>
          <w:szCs w:val="24"/>
        </w:rPr>
        <w:t>can communicate consistent program-wide performance and accountability information to</w:t>
      </w:r>
      <w:r w:rsidR="00322B51" w:rsidRPr="00166BD3">
        <w:rPr>
          <w:rFonts w:ascii="Times New Roman" w:hAnsi="Times New Roman" w:cs="Times New Roman"/>
          <w:sz w:val="24"/>
          <w:szCs w:val="24"/>
        </w:rPr>
        <w:t>, among others,</w:t>
      </w:r>
      <w:r w:rsidR="00121C9C" w:rsidRPr="00BF046D">
        <w:rPr>
          <w:rFonts w:ascii="Times New Roman" w:hAnsi="Times New Roman" w:cs="Times New Roman"/>
          <w:sz w:val="24"/>
          <w:szCs w:val="24"/>
        </w:rPr>
        <w:t xml:space="preserve"> </w:t>
      </w:r>
      <w:r w:rsidR="0066337A">
        <w:rPr>
          <w:rFonts w:ascii="Times New Roman" w:hAnsi="Times New Roman" w:cs="Times New Roman"/>
          <w:sz w:val="24"/>
          <w:szCs w:val="24"/>
        </w:rPr>
        <w:t>FLMAs’ internal leadership, external stakeholders, the education of Congressional staffers</w:t>
      </w:r>
      <w:r w:rsidR="00121C9C" w:rsidRPr="00BF046D">
        <w:rPr>
          <w:rFonts w:ascii="Times New Roman" w:hAnsi="Times New Roman" w:cs="Times New Roman"/>
          <w:sz w:val="24"/>
          <w:szCs w:val="24"/>
        </w:rPr>
        <w:t xml:space="preserve">, auditors, </w:t>
      </w:r>
      <w:r w:rsidR="00322B51" w:rsidRPr="00166BD3">
        <w:rPr>
          <w:rFonts w:ascii="Times New Roman" w:hAnsi="Times New Roman" w:cs="Times New Roman"/>
          <w:sz w:val="24"/>
          <w:szCs w:val="24"/>
        </w:rPr>
        <w:t xml:space="preserve">and the </w:t>
      </w:r>
      <w:r w:rsidR="00121C9C" w:rsidRPr="00BF046D">
        <w:rPr>
          <w:rFonts w:ascii="Times New Roman" w:hAnsi="Times New Roman" w:cs="Times New Roman"/>
          <w:sz w:val="24"/>
          <w:szCs w:val="24"/>
        </w:rPr>
        <w:t xml:space="preserve">public. </w:t>
      </w:r>
      <w:r w:rsidR="0066337A">
        <w:rPr>
          <w:rFonts w:ascii="Times New Roman" w:hAnsi="Times New Roman" w:cs="Times New Roman"/>
          <w:sz w:val="24"/>
          <w:szCs w:val="24"/>
        </w:rPr>
        <w:t xml:space="preserve">With that understanding, the FLMAs are at liberty to include additional information that may help convey their message and tell their story, e.g., including a list of projects by state, or highlighting a storyboard around a few projects with photos and descriptions that serve to educate a range of audiences on the importance of the program and how it serves the American people.  </w:t>
      </w:r>
    </w:p>
    <w:p w14:paraId="36BC0A9B" w14:textId="114DA034" w:rsidR="002A5007" w:rsidRDefault="00C27BB9" w:rsidP="000040B4">
      <w:pPr>
        <w:pStyle w:val="NoSpacing"/>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B0626">
        <w:rPr>
          <w:rFonts w:ascii="Times New Roman" w:hAnsi="Times New Roman" w:cs="Times New Roman"/>
          <w:sz w:val="24"/>
          <w:szCs w:val="24"/>
        </w:rPr>
        <w:t>A</w:t>
      </w:r>
      <w:r>
        <w:rPr>
          <w:rFonts w:ascii="Times New Roman" w:hAnsi="Times New Roman" w:cs="Times New Roman"/>
          <w:sz w:val="24"/>
          <w:szCs w:val="24"/>
        </w:rPr>
        <w:t xml:space="preserve">nnual </w:t>
      </w:r>
      <w:r w:rsidR="008B0626">
        <w:rPr>
          <w:rFonts w:ascii="Times New Roman" w:hAnsi="Times New Roman" w:cs="Times New Roman"/>
          <w:sz w:val="24"/>
          <w:szCs w:val="24"/>
        </w:rPr>
        <w:t>FLTP A</w:t>
      </w:r>
      <w:r w:rsidRPr="009D62DE">
        <w:rPr>
          <w:rFonts w:ascii="Times New Roman" w:hAnsi="Times New Roman" w:cs="Times New Roman"/>
          <w:sz w:val="24"/>
          <w:szCs w:val="24"/>
        </w:rPr>
        <w:t xml:space="preserve">ccomplishment </w:t>
      </w:r>
      <w:r w:rsidR="008B0626">
        <w:rPr>
          <w:rFonts w:ascii="Times New Roman" w:hAnsi="Times New Roman" w:cs="Times New Roman"/>
          <w:sz w:val="24"/>
          <w:szCs w:val="24"/>
        </w:rPr>
        <w:t>R</w:t>
      </w:r>
      <w:r w:rsidRPr="009D62DE">
        <w:rPr>
          <w:rFonts w:ascii="Times New Roman" w:hAnsi="Times New Roman" w:cs="Times New Roman"/>
          <w:sz w:val="24"/>
          <w:szCs w:val="24"/>
        </w:rPr>
        <w:t>eport</w:t>
      </w:r>
      <w:r w:rsidR="008B0626">
        <w:rPr>
          <w:rFonts w:ascii="Times New Roman" w:hAnsi="Times New Roman" w:cs="Times New Roman"/>
          <w:sz w:val="24"/>
          <w:szCs w:val="24"/>
        </w:rPr>
        <w:t xml:space="preserve"> template is found in Appendix </w:t>
      </w:r>
      <w:r w:rsidR="0036332E">
        <w:rPr>
          <w:rFonts w:ascii="Times New Roman" w:hAnsi="Times New Roman" w:cs="Times New Roman"/>
          <w:sz w:val="24"/>
          <w:szCs w:val="24"/>
        </w:rPr>
        <w:t>D</w:t>
      </w:r>
      <w:r w:rsidR="008B0626">
        <w:rPr>
          <w:rFonts w:ascii="Times New Roman" w:hAnsi="Times New Roman" w:cs="Times New Roman"/>
          <w:sz w:val="24"/>
          <w:szCs w:val="24"/>
        </w:rPr>
        <w:t xml:space="preserve">. The reports </w:t>
      </w:r>
      <w:r w:rsidRPr="009D62DE">
        <w:rPr>
          <w:rFonts w:ascii="Times New Roman" w:hAnsi="Times New Roman" w:cs="Times New Roman"/>
          <w:sz w:val="24"/>
          <w:szCs w:val="24"/>
        </w:rPr>
        <w:t xml:space="preserve">for the preceding </w:t>
      </w:r>
      <w:r w:rsidR="008B0626">
        <w:rPr>
          <w:rFonts w:ascii="Times New Roman" w:hAnsi="Times New Roman" w:cs="Times New Roman"/>
          <w:sz w:val="24"/>
          <w:szCs w:val="24"/>
        </w:rPr>
        <w:t>fiscal year</w:t>
      </w:r>
      <w:r w:rsidRPr="009D62DE">
        <w:rPr>
          <w:rFonts w:ascii="Times New Roman" w:hAnsi="Times New Roman" w:cs="Times New Roman"/>
          <w:sz w:val="24"/>
          <w:szCs w:val="24"/>
        </w:rPr>
        <w:t xml:space="preserve"> are due by </w:t>
      </w:r>
      <w:r w:rsidRPr="00B04070">
        <w:rPr>
          <w:rFonts w:ascii="Times New Roman" w:hAnsi="Times New Roman" w:cs="Times New Roman"/>
          <w:b/>
          <w:bCs/>
          <w:sz w:val="24"/>
          <w:szCs w:val="24"/>
        </w:rPr>
        <w:t>April 1st</w:t>
      </w:r>
      <w:r w:rsidRPr="008A21F5">
        <w:rPr>
          <w:rFonts w:ascii="Times New Roman" w:hAnsi="Times New Roman" w:cs="Times New Roman"/>
          <w:sz w:val="24"/>
          <w:szCs w:val="24"/>
        </w:rPr>
        <w:t xml:space="preserve"> of the current </w:t>
      </w:r>
      <w:r w:rsidR="008B0626">
        <w:rPr>
          <w:rFonts w:ascii="Times New Roman" w:hAnsi="Times New Roman" w:cs="Times New Roman"/>
          <w:sz w:val="24"/>
          <w:szCs w:val="24"/>
        </w:rPr>
        <w:t>fiscal year</w:t>
      </w:r>
      <w:r w:rsidRPr="008A21F5">
        <w:rPr>
          <w:rFonts w:ascii="Times New Roman" w:hAnsi="Times New Roman" w:cs="Times New Roman"/>
          <w:sz w:val="24"/>
          <w:szCs w:val="24"/>
        </w:rPr>
        <w:t>.</w:t>
      </w:r>
      <w:r>
        <w:rPr>
          <w:rFonts w:ascii="Times New Roman" w:hAnsi="Times New Roman" w:cs="Times New Roman"/>
          <w:sz w:val="24"/>
          <w:szCs w:val="24"/>
        </w:rPr>
        <w:t xml:space="preserve"> </w:t>
      </w:r>
    </w:p>
    <w:p w14:paraId="744A3925" w14:textId="77777777" w:rsidR="008F1E20" w:rsidRDefault="008F1E20" w:rsidP="00CD0344">
      <w:pPr>
        <w:pStyle w:val="Heading1"/>
        <w:spacing w:before="0" w:line="240" w:lineRule="auto"/>
        <w:contextualSpacing/>
        <w:rPr>
          <w:rFonts w:ascii="Times New Roman" w:hAnsi="Times New Roman" w:cs="Times New Roman"/>
          <w:b w:val="0"/>
          <w:color w:val="auto"/>
          <w:sz w:val="24"/>
          <w:szCs w:val="24"/>
        </w:rPr>
      </w:pPr>
    </w:p>
    <w:p w14:paraId="2B69225A" w14:textId="77777777" w:rsidR="00CD0344" w:rsidRDefault="00CD0344">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14:paraId="67574B80" w14:textId="7FFF12BE" w:rsidR="00744070" w:rsidRPr="00744070" w:rsidRDefault="002A5007" w:rsidP="00744070">
      <w:pPr>
        <w:pStyle w:val="Heading1"/>
        <w:spacing w:before="0" w:after="200"/>
        <w:ind w:left="720" w:right="720"/>
        <w:jc w:val="center"/>
        <w:rPr>
          <w:rFonts w:ascii="Times New Roman" w:hAnsi="Times New Roman" w:cs="Times New Roman"/>
          <w:color w:val="auto"/>
          <w:sz w:val="32"/>
          <w:szCs w:val="32"/>
        </w:rPr>
      </w:pPr>
      <w:bookmarkStart w:id="17" w:name="_Toc103684614"/>
      <w:r w:rsidRPr="000040B4">
        <w:rPr>
          <w:rFonts w:ascii="Times New Roman" w:hAnsi="Times New Roman" w:cs="Times New Roman"/>
          <w:color w:val="auto"/>
          <w:sz w:val="32"/>
          <w:szCs w:val="32"/>
        </w:rPr>
        <w:lastRenderedPageBreak/>
        <w:t>APPENDIX A</w:t>
      </w:r>
      <w:bookmarkEnd w:id="17"/>
    </w:p>
    <w:p w14:paraId="444B29F4" w14:textId="10DB4AFA" w:rsidR="00744070" w:rsidRPr="005D3FDA" w:rsidRDefault="00744070" w:rsidP="00D238DE">
      <w:pPr>
        <w:rPr>
          <w:rFonts w:ascii="Times New Roman" w:hAnsi="Times New Roman" w:cs="Times New Roman"/>
          <w:sz w:val="24"/>
          <w:szCs w:val="24"/>
        </w:rPr>
      </w:pPr>
      <w:r>
        <w:rPr>
          <w:rFonts w:ascii="Times New Roman" w:hAnsi="Times New Roman" w:cs="Times New Roman"/>
          <w:sz w:val="24"/>
          <w:szCs w:val="24"/>
        </w:rPr>
        <w:t xml:space="preserve">This table is intended to assist FLMA’s in their response to the asset management requirements, above in the body of these instructions, for assets included in your </w:t>
      </w:r>
      <w:r w:rsidR="00995F05">
        <w:rPr>
          <w:rFonts w:ascii="Times New Roman" w:hAnsi="Times New Roman" w:cs="Times New Roman"/>
          <w:sz w:val="24"/>
          <w:szCs w:val="24"/>
        </w:rPr>
        <w:t xml:space="preserve">agency’s </w:t>
      </w:r>
      <w:r>
        <w:rPr>
          <w:rFonts w:ascii="Times New Roman" w:hAnsi="Times New Roman" w:cs="Times New Roman"/>
          <w:sz w:val="24"/>
          <w:szCs w:val="24"/>
        </w:rPr>
        <w:t xml:space="preserve">official inventory. </w:t>
      </w:r>
      <w:bookmarkStart w:id="18" w:name="_Hlk83894921"/>
      <w:r w:rsidRPr="005D3FDA">
        <w:rPr>
          <w:rFonts w:ascii="Times New Roman" w:hAnsi="Times New Roman" w:cs="Times New Roman"/>
          <w:sz w:val="24"/>
          <w:szCs w:val="24"/>
        </w:rPr>
        <w:t xml:space="preserve"> </w:t>
      </w:r>
    </w:p>
    <w:bookmarkEnd w:id="18"/>
    <w:p w14:paraId="1295613E" w14:textId="77777777" w:rsidR="00744070" w:rsidRPr="00FB1687" w:rsidRDefault="00744070" w:rsidP="00744070">
      <w:pPr>
        <w:pStyle w:val="Caption"/>
        <w:keepNext/>
        <w:jc w:val="center"/>
        <w:rPr>
          <w:rFonts w:ascii="Times New Roman" w:hAnsi="Times New Roman"/>
          <w:b w:val="0"/>
          <w:bCs w:val="0"/>
          <w:color w:val="auto"/>
          <w:sz w:val="24"/>
        </w:rPr>
      </w:pPr>
      <w:r w:rsidRPr="00FB1687">
        <w:rPr>
          <w:rFonts w:ascii="Times New Roman" w:hAnsi="Times New Roman"/>
          <w:b w:val="0"/>
          <w:bCs w:val="0"/>
          <w:color w:val="auto"/>
          <w:sz w:val="24"/>
        </w:rPr>
        <w:t xml:space="preserve">Table </w:t>
      </w:r>
      <w:r w:rsidRPr="00FB1687">
        <w:rPr>
          <w:rFonts w:ascii="Times New Roman" w:hAnsi="Times New Roman"/>
          <w:b w:val="0"/>
          <w:bCs w:val="0"/>
          <w:color w:val="auto"/>
          <w:sz w:val="24"/>
        </w:rPr>
        <w:fldChar w:fldCharType="begin"/>
      </w:r>
      <w:r w:rsidRPr="00FB1687">
        <w:rPr>
          <w:rFonts w:ascii="Times New Roman" w:hAnsi="Times New Roman"/>
          <w:b w:val="0"/>
          <w:bCs w:val="0"/>
          <w:color w:val="auto"/>
          <w:sz w:val="24"/>
        </w:rPr>
        <w:instrText xml:space="preserve"> SEQ Table \* ARABIC </w:instrText>
      </w:r>
      <w:r w:rsidRPr="00FB1687">
        <w:rPr>
          <w:rFonts w:ascii="Times New Roman" w:hAnsi="Times New Roman"/>
          <w:b w:val="0"/>
          <w:bCs w:val="0"/>
          <w:color w:val="auto"/>
          <w:sz w:val="24"/>
        </w:rPr>
        <w:fldChar w:fldCharType="separate"/>
      </w:r>
      <w:r w:rsidRPr="00FB1687">
        <w:rPr>
          <w:rFonts w:ascii="Times New Roman" w:hAnsi="Times New Roman"/>
          <w:b w:val="0"/>
          <w:bCs w:val="0"/>
          <w:noProof/>
          <w:color w:val="auto"/>
          <w:sz w:val="24"/>
        </w:rPr>
        <w:t>1</w:t>
      </w:r>
      <w:r w:rsidRPr="00FB1687">
        <w:rPr>
          <w:rFonts w:ascii="Times New Roman" w:hAnsi="Times New Roman"/>
          <w:b w:val="0"/>
          <w:bCs w:val="0"/>
          <w:color w:val="auto"/>
          <w:sz w:val="24"/>
        </w:rPr>
        <w:fldChar w:fldCharType="end"/>
      </w:r>
      <w:r w:rsidRPr="00FB1687">
        <w:rPr>
          <w:rFonts w:ascii="Times New Roman" w:hAnsi="Times New Roman"/>
          <w:b w:val="0"/>
          <w:bCs w:val="0"/>
          <w:color w:val="auto"/>
          <w:sz w:val="24"/>
        </w:rPr>
        <w:t xml:space="preserve"> – Asset Management Approach</w:t>
      </w:r>
    </w:p>
    <w:tbl>
      <w:tblPr>
        <w:tblStyle w:val="TableGrid"/>
        <w:tblW w:w="7915" w:type="dxa"/>
        <w:jc w:val="center"/>
        <w:tblLook w:val="04A0" w:firstRow="1" w:lastRow="0" w:firstColumn="1" w:lastColumn="0" w:noHBand="0" w:noVBand="1"/>
      </w:tblPr>
      <w:tblGrid>
        <w:gridCol w:w="1705"/>
        <w:gridCol w:w="3240"/>
        <w:gridCol w:w="2970"/>
      </w:tblGrid>
      <w:tr w:rsidR="00744070" w:rsidRPr="00893D8C" w14:paraId="36FC11A5" w14:textId="77777777" w:rsidTr="004647A5">
        <w:trPr>
          <w:jc w:val="center"/>
        </w:trPr>
        <w:tc>
          <w:tcPr>
            <w:tcW w:w="1705" w:type="dxa"/>
          </w:tcPr>
          <w:p w14:paraId="07C034B5" w14:textId="77777777" w:rsidR="00744070" w:rsidRPr="00893D8C" w:rsidRDefault="00744070" w:rsidP="004647A5">
            <w:pPr>
              <w:pStyle w:val="ListParagraph"/>
              <w:ind w:left="0"/>
              <w:contextualSpacing w:val="0"/>
              <w:jc w:val="center"/>
              <w:rPr>
                <w:rFonts w:ascii="Times New Roman" w:hAnsi="Times New Roman" w:cs="Times New Roman"/>
              </w:rPr>
            </w:pPr>
            <w:r w:rsidRPr="00893D8C">
              <w:rPr>
                <w:rFonts w:ascii="Times New Roman" w:hAnsi="Times New Roman" w:cs="Times New Roman"/>
              </w:rPr>
              <w:t>Approach</w:t>
            </w:r>
          </w:p>
        </w:tc>
        <w:tc>
          <w:tcPr>
            <w:tcW w:w="3240" w:type="dxa"/>
          </w:tcPr>
          <w:p w14:paraId="73B2CB88" w14:textId="77777777" w:rsidR="00744070" w:rsidRPr="00893D8C" w:rsidRDefault="00744070" w:rsidP="004647A5">
            <w:pPr>
              <w:pStyle w:val="ListParagraph"/>
              <w:ind w:left="0"/>
              <w:contextualSpacing w:val="0"/>
              <w:jc w:val="center"/>
              <w:rPr>
                <w:rFonts w:ascii="Times New Roman" w:hAnsi="Times New Roman" w:cs="Times New Roman"/>
              </w:rPr>
            </w:pPr>
            <w:r w:rsidRPr="00893D8C">
              <w:rPr>
                <w:rFonts w:ascii="Times New Roman" w:hAnsi="Times New Roman" w:cs="Times New Roman"/>
              </w:rPr>
              <w:t>Asset Description</w:t>
            </w:r>
          </w:p>
        </w:tc>
        <w:tc>
          <w:tcPr>
            <w:tcW w:w="2970" w:type="dxa"/>
          </w:tcPr>
          <w:p w14:paraId="2D37210F" w14:textId="77777777" w:rsidR="00744070" w:rsidRPr="00893D8C" w:rsidRDefault="00744070" w:rsidP="004647A5">
            <w:pPr>
              <w:jc w:val="center"/>
              <w:rPr>
                <w:rFonts w:ascii="Times New Roman" w:hAnsi="Times New Roman" w:cs="Times New Roman"/>
              </w:rPr>
            </w:pPr>
            <w:r w:rsidRPr="00893D8C">
              <w:rPr>
                <w:rFonts w:ascii="Times New Roman" w:hAnsi="Times New Roman" w:cs="Times New Roman"/>
              </w:rPr>
              <w:t>Asset Management Activities</w:t>
            </w:r>
          </w:p>
        </w:tc>
      </w:tr>
      <w:tr w:rsidR="00744070" w:rsidRPr="00893D8C" w14:paraId="1CD5A2E4" w14:textId="77777777" w:rsidTr="004647A5">
        <w:trPr>
          <w:jc w:val="center"/>
        </w:trPr>
        <w:tc>
          <w:tcPr>
            <w:tcW w:w="1705" w:type="dxa"/>
            <w:vAlign w:val="center"/>
          </w:tcPr>
          <w:p w14:paraId="7F3DAE92" w14:textId="77777777" w:rsidR="00744070" w:rsidRPr="00893D8C" w:rsidRDefault="00744070" w:rsidP="004647A5">
            <w:pPr>
              <w:pStyle w:val="ListParagraph"/>
              <w:ind w:left="0"/>
              <w:contextualSpacing w:val="0"/>
              <w:rPr>
                <w:rFonts w:ascii="Times New Roman" w:hAnsi="Times New Roman" w:cs="Times New Roman"/>
              </w:rPr>
            </w:pPr>
            <w:r w:rsidRPr="00893D8C">
              <w:rPr>
                <w:rFonts w:ascii="Times New Roman" w:hAnsi="Times New Roman" w:cs="Times New Roman"/>
              </w:rPr>
              <w:t>Performance Based</w:t>
            </w:r>
            <w:r>
              <w:rPr>
                <w:rFonts w:ascii="Times New Roman" w:hAnsi="Times New Roman" w:cs="Times New Roman"/>
              </w:rPr>
              <w:t xml:space="preserve"> </w:t>
            </w:r>
          </w:p>
        </w:tc>
        <w:tc>
          <w:tcPr>
            <w:tcW w:w="3240" w:type="dxa"/>
            <w:vAlign w:val="center"/>
          </w:tcPr>
          <w:p w14:paraId="7C5F09C0" w14:textId="77777777" w:rsidR="00744070" w:rsidRPr="00893D8C" w:rsidRDefault="00744070" w:rsidP="004647A5">
            <w:pPr>
              <w:pStyle w:val="ListParagraph"/>
              <w:ind w:left="0"/>
              <w:contextualSpacing w:val="0"/>
              <w:rPr>
                <w:rFonts w:ascii="Times New Roman" w:hAnsi="Times New Roman" w:cs="Times New Roman"/>
              </w:rPr>
            </w:pPr>
            <w:r w:rsidRPr="00893D8C">
              <w:rPr>
                <w:rFonts w:ascii="Times New Roman" w:hAnsi="Times New Roman" w:cs="Times New Roman"/>
              </w:rPr>
              <w:t>Assets Generally Higher Value</w:t>
            </w:r>
            <w:r>
              <w:rPr>
                <w:rFonts w:ascii="Times New Roman" w:hAnsi="Times New Roman" w:cs="Times New Roman"/>
                <w:vertAlign w:val="superscript"/>
              </w:rPr>
              <w:t>*</w:t>
            </w:r>
          </w:p>
          <w:p w14:paraId="65060E8C" w14:textId="77777777" w:rsidR="00744070" w:rsidRPr="00893D8C" w:rsidRDefault="00744070" w:rsidP="004647A5">
            <w:pPr>
              <w:pStyle w:val="ListParagraph"/>
              <w:ind w:left="0"/>
              <w:contextualSpacing w:val="0"/>
              <w:rPr>
                <w:rFonts w:ascii="Times New Roman" w:hAnsi="Times New Roman" w:cs="Times New Roman"/>
              </w:rPr>
            </w:pPr>
            <w:r w:rsidRPr="00893D8C">
              <w:rPr>
                <w:rFonts w:ascii="Times New Roman" w:hAnsi="Times New Roman" w:cs="Times New Roman"/>
              </w:rPr>
              <w:t>Higher Programmatic Risk</w:t>
            </w:r>
            <w:r>
              <w:rPr>
                <w:rFonts w:ascii="Times New Roman" w:hAnsi="Times New Roman" w:cs="Times New Roman"/>
                <w:vertAlign w:val="superscript"/>
              </w:rPr>
              <w:t>**</w:t>
            </w:r>
          </w:p>
        </w:tc>
        <w:tc>
          <w:tcPr>
            <w:tcW w:w="2970" w:type="dxa"/>
          </w:tcPr>
          <w:p w14:paraId="3468FE2E" w14:textId="77777777" w:rsidR="00744070" w:rsidRPr="00893D8C" w:rsidRDefault="00744070" w:rsidP="00A929C8">
            <w:pPr>
              <w:pStyle w:val="ListParagraph"/>
              <w:numPr>
                <w:ilvl w:val="0"/>
                <w:numId w:val="3"/>
              </w:numPr>
              <w:ind w:left="342" w:hanging="270"/>
              <w:contextualSpacing w:val="0"/>
              <w:rPr>
                <w:rFonts w:ascii="Times New Roman" w:hAnsi="Times New Roman" w:cs="Times New Roman"/>
              </w:rPr>
            </w:pPr>
            <w:r w:rsidRPr="00893D8C">
              <w:rPr>
                <w:rFonts w:ascii="Times New Roman" w:hAnsi="Times New Roman" w:cs="Times New Roman"/>
              </w:rPr>
              <w:t>Performance Forecasting</w:t>
            </w:r>
          </w:p>
          <w:p w14:paraId="3AEC0513" w14:textId="77777777" w:rsidR="00744070" w:rsidRPr="00893D8C" w:rsidRDefault="00744070" w:rsidP="00A929C8">
            <w:pPr>
              <w:pStyle w:val="ListParagraph"/>
              <w:numPr>
                <w:ilvl w:val="0"/>
                <w:numId w:val="3"/>
              </w:numPr>
              <w:ind w:left="342" w:hanging="270"/>
              <w:contextualSpacing w:val="0"/>
              <w:rPr>
                <w:rFonts w:ascii="Times New Roman" w:hAnsi="Times New Roman" w:cs="Times New Roman"/>
              </w:rPr>
            </w:pPr>
            <w:r w:rsidRPr="00893D8C">
              <w:rPr>
                <w:rFonts w:ascii="Times New Roman" w:hAnsi="Times New Roman" w:cs="Times New Roman"/>
              </w:rPr>
              <w:t>Cost to Maintain Asset</w:t>
            </w:r>
          </w:p>
          <w:p w14:paraId="0B8B85FE" w14:textId="77777777" w:rsidR="00744070" w:rsidRPr="00893D8C" w:rsidRDefault="00744070" w:rsidP="00A929C8">
            <w:pPr>
              <w:pStyle w:val="ListParagraph"/>
              <w:numPr>
                <w:ilvl w:val="0"/>
                <w:numId w:val="3"/>
              </w:numPr>
              <w:ind w:left="342" w:right="-380" w:hanging="270"/>
              <w:contextualSpacing w:val="0"/>
              <w:rPr>
                <w:rFonts w:ascii="Times New Roman" w:hAnsi="Times New Roman" w:cs="Times New Roman"/>
              </w:rPr>
            </w:pPr>
            <w:r w:rsidRPr="00893D8C">
              <w:rPr>
                <w:rFonts w:ascii="Times New Roman" w:hAnsi="Times New Roman" w:cs="Times New Roman"/>
              </w:rPr>
              <w:t>Performance Target</w:t>
            </w:r>
            <w:r>
              <w:rPr>
                <w:rFonts w:ascii="Times New Roman" w:hAnsi="Times New Roman" w:cs="Times New Roman"/>
                <w:vertAlign w:val="superscript"/>
              </w:rPr>
              <w:t>***</w:t>
            </w:r>
            <w:r w:rsidDel="00F31007">
              <w:rPr>
                <w:rFonts w:ascii="Times New Roman" w:hAnsi="Times New Roman" w:cs="Times New Roman"/>
                <w:vertAlign w:val="superscript"/>
              </w:rPr>
              <w:t xml:space="preserve"> </w:t>
            </w:r>
          </w:p>
          <w:p w14:paraId="02A01DD2" w14:textId="77777777" w:rsidR="00744070" w:rsidRPr="00893D8C" w:rsidRDefault="00744070" w:rsidP="00A929C8">
            <w:pPr>
              <w:pStyle w:val="ListParagraph"/>
              <w:numPr>
                <w:ilvl w:val="0"/>
                <w:numId w:val="3"/>
              </w:numPr>
              <w:ind w:left="342" w:hanging="270"/>
              <w:contextualSpacing w:val="0"/>
              <w:rPr>
                <w:rFonts w:ascii="Times New Roman" w:hAnsi="Times New Roman" w:cs="Times New Roman"/>
              </w:rPr>
            </w:pPr>
            <w:r w:rsidRPr="00893D8C">
              <w:rPr>
                <w:rFonts w:ascii="Times New Roman" w:hAnsi="Times New Roman" w:cs="Times New Roman"/>
              </w:rPr>
              <w:t>Life Cycle / Deterioration Curves</w:t>
            </w:r>
          </w:p>
          <w:p w14:paraId="53A4ABC6" w14:textId="77777777" w:rsidR="00744070" w:rsidRPr="00893D8C" w:rsidRDefault="00744070" w:rsidP="00A929C8">
            <w:pPr>
              <w:pStyle w:val="ListParagraph"/>
              <w:numPr>
                <w:ilvl w:val="0"/>
                <w:numId w:val="3"/>
              </w:numPr>
              <w:ind w:left="342" w:hanging="270"/>
              <w:contextualSpacing w:val="0"/>
              <w:rPr>
                <w:rFonts w:ascii="Times New Roman" w:hAnsi="Times New Roman" w:cs="Times New Roman"/>
              </w:rPr>
            </w:pPr>
            <w:r w:rsidRPr="00893D8C">
              <w:rPr>
                <w:rFonts w:ascii="Times New Roman" w:hAnsi="Times New Roman" w:cs="Times New Roman"/>
              </w:rPr>
              <w:t>Inventory</w:t>
            </w:r>
          </w:p>
          <w:p w14:paraId="6F5EA465" w14:textId="77777777" w:rsidR="00744070" w:rsidRPr="00893D8C" w:rsidRDefault="00744070" w:rsidP="00A929C8">
            <w:pPr>
              <w:pStyle w:val="ListParagraph"/>
              <w:numPr>
                <w:ilvl w:val="0"/>
                <w:numId w:val="3"/>
              </w:numPr>
              <w:ind w:left="342" w:hanging="270"/>
              <w:contextualSpacing w:val="0"/>
              <w:rPr>
                <w:rFonts w:ascii="Times New Roman" w:hAnsi="Times New Roman" w:cs="Times New Roman"/>
              </w:rPr>
            </w:pPr>
            <w:r w:rsidRPr="00893D8C">
              <w:rPr>
                <w:rFonts w:ascii="Times New Roman" w:hAnsi="Times New Roman" w:cs="Times New Roman"/>
              </w:rPr>
              <w:t>Condition</w:t>
            </w:r>
          </w:p>
        </w:tc>
      </w:tr>
      <w:tr w:rsidR="00744070" w:rsidRPr="00893D8C" w14:paraId="4A83162A" w14:textId="77777777" w:rsidTr="004647A5">
        <w:trPr>
          <w:jc w:val="center"/>
        </w:trPr>
        <w:tc>
          <w:tcPr>
            <w:tcW w:w="1705" w:type="dxa"/>
            <w:vAlign w:val="center"/>
          </w:tcPr>
          <w:p w14:paraId="4AD6C365" w14:textId="77777777" w:rsidR="00744070" w:rsidRPr="00893D8C" w:rsidRDefault="00744070" w:rsidP="004647A5">
            <w:pPr>
              <w:pStyle w:val="ListParagraph"/>
              <w:ind w:left="0"/>
              <w:contextualSpacing w:val="0"/>
              <w:rPr>
                <w:rFonts w:ascii="Times New Roman" w:hAnsi="Times New Roman" w:cs="Times New Roman"/>
              </w:rPr>
            </w:pPr>
            <w:r w:rsidRPr="00893D8C">
              <w:rPr>
                <w:rFonts w:ascii="Times New Roman" w:hAnsi="Times New Roman" w:cs="Times New Roman"/>
              </w:rPr>
              <w:t>Condition Based</w:t>
            </w:r>
          </w:p>
        </w:tc>
        <w:tc>
          <w:tcPr>
            <w:tcW w:w="3240" w:type="dxa"/>
            <w:vAlign w:val="center"/>
          </w:tcPr>
          <w:p w14:paraId="2C12C6DE" w14:textId="77777777" w:rsidR="00744070" w:rsidRPr="00893D8C" w:rsidRDefault="00744070" w:rsidP="004647A5">
            <w:pPr>
              <w:pStyle w:val="ListParagraph"/>
              <w:ind w:left="0"/>
              <w:contextualSpacing w:val="0"/>
              <w:rPr>
                <w:rFonts w:ascii="Times New Roman" w:hAnsi="Times New Roman" w:cs="Times New Roman"/>
              </w:rPr>
            </w:pPr>
            <w:r w:rsidRPr="00893D8C">
              <w:rPr>
                <w:rFonts w:ascii="Times New Roman" w:hAnsi="Times New Roman" w:cs="Times New Roman"/>
              </w:rPr>
              <w:t>Assets Generally Moderate Value</w:t>
            </w:r>
          </w:p>
          <w:p w14:paraId="67640FEF" w14:textId="77777777" w:rsidR="00744070" w:rsidRPr="00893D8C" w:rsidRDefault="00744070" w:rsidP="004647A5">
            <w:pPr>
              <w:pStyle w:val="ListParagraph"/>
              <w:ind w:left="0"/>
              <w:contextualSpacing w:val="0"/>
              <w:rPr>
                <w:rFonts w:ascii="Times New Roman" w:hAnsi="Times New Roman" w:cs="Times New Roman"/>
              </w:rPr>
            </w:pPr>
            <w:r w:rsidRPr="00893D8C">
              <w:rPr>
                <w:rFonts w:ascii="Times New Roman" w:hAnsi="Times New Roman" w:cs="Times New Roman"/>
              </w:rPr>
              <w:t>Moderate Programmatic Risk</w:t>
            </w:r>
          </w:p>
        </w:tc>
        <w:tc>
          <w:tcPr>
            <w:tcW w:w="2970" w:type="dxa"/>
          </w:tcPr>
          <w:p w14:paraId="04C42323" w14:textId="77777777" w:rsidR="00744070" w:rsidRPr="00893D8C" w:rsidRDefault="00744070" w:rsidP="00A929C8">
            <w:pPr>
              <w:pStyle w:val="ListParagraph"/>
              <w:numPr>
                <w:ilvl w:val="0"/>
                <w:numId w:val="2"/>
              </w:numPr>
              <w:ind w:left="342" w:hanging="270"/>
              <w:contextualSpacing w:val="0"/>
              <w:rPr>
                <w:rFonts w:ascii="Times New Roman" w:hAnsi="Times New Roman" w:cs="Times New Roman"/>
              </w:rPr>
            </w:pPr>
            <w:r w:rsidRPr="00893D8C">
              <w:rPr>
                <w:rFonts w:ascii="Times New Roman" w:hAnsi="Times New Roman" w:cs="Times New Roman"/>
              </w:rPr>
              <w:t>Condition Target</w:t>
            </w:r>
            <w:r>
              <w:rPr>
                <w:rFonts w:ascii="Times New Roman" w:hAnsi="Times New Roman" w:cs="Times New Roman"/>
                <w:vertAlign w:val="superscript"/>
              </w:rPr>
              <w:t>***</w:t>
            </w:r>
          </w:p>
          <w:p w14:paraId="7384AAFC" w14:textId="77777777" w:rsidR="00744070" w:rsidRPr="00893D8C" w:rsidRDefault="00744070" w:rsidP="00A929C8">
            <w:pPr>
              <w:pStyle w:val="ListParagraph"/>
              <w:numPr>
                <w:ilvl w:val="0"/>
                <w:numId w:val="2"/>
              </w:numPr>
              <w:ind w:left="342" w:hanging="270"/>
              <w:contextualSpacing w:val="0"/>
              <w:rPr>
                <w:rFonts w:ascii="Times New Roman" w:hAnsi="Times New Roman" w:cs="Times New Roman"/>
              </w:rPr>
            </w:pPr>
            <w:r w:rsidRPr="00893D8C">
              <w:rPr>
                <w:rFonts w:ascii="Times New Roman" w:hAnsi="Times New Roman" w:cs="Times New Roman"/>
              </w:rPr>
              <w:t>Life Cycle</w:t>
            </w:r>
          </w:p>
          <w:p w14:paraId="43A08B5E" w14:textId="77777777" w:rsidR="00744070" w:rsidRPr="00893D8C" w:rsidRDefault="00744070" w:rsidP="00A929C8">
            <w:pPr>
              <w:pStyle w:val="ListParagraph"/>
              <w:numPr>
                <w:ilvl w:val="0"/>
                <w:numId w:val="2"/>
              </w:numPr>
              <w:ind w:left="342" w:hanging="270"/>
              <w:contextualSpacing w:val="0"/>
              <w:rPr>
                <w:rFonts w:ascii="Times New Roman" w:hAnsi="Times New Roman" w:cs="Times New Roman"/>
              </w:rPr>
            </w:pPr>
            <w:r w:rsidRPr="00893D8C">
              <w:rPr>
                <w:rFonts w:ascii="Times New Roman" w:hAnsi="Times New Roman" w:cs="Times New Roman"/>
              </w:rPr>
              <w:t>Inventory</w:t>
            </w:r>
          </w:p>
          <w:p w14:paraId="010F7EE0" w14:textId="77777777" w:rsidR="00744070" w:rsidRPr="00893D8C" w:rsidRDefault="00744070" w:rsidP="00A929C8">
            <w:pPr>
              <w:pStyle w:val="ListParagraph"/>
              <w:numPr>
                <w:ilvl w:val="0"/>
                <w:numId w:val="2"/>
              </w:numPr>
              <w:ind w:left="342" w:hanging="270"/>
              <w:contextualSpacing w:val="0"/>
              <w:rPr>
                <w:rFonts w:ascii="Times New Roman" w:hAnsi="Times New Roman" w:cs="Times New Roman"/>
              </w:rPr>
            </w:pPr>
            <w:r w:rsidRPr="00893D8C">
              <w:rPr>
                <w:rFonts w:ascii="Times New Roman" w:hAnsi="Times New Roman" w:cs="Times New Roman"/>
              </w:rPr>
              <w:t>Condition</w:t>
            </w:r>
          </w:p>
        </w:tc>
      </w:tr>
      <w:tr w:rsidR="00744070" w:rsidRPr="00893D8C" w14:paraId="56104650" w14:textId="77777777" w:rsidTr="004647A5">
        <w:trPr>
          <w:jc w:val="center"/>
        </w:trPr>
        <w:tc>
          <w:tcPr>
            <w:tcW w:w="1705" w:type="dxa"/>
            <w:vAlign w:val="center"/>
          </w:tcPr>
          <w:p w14:paraId="21F62B58" w14:textId="77777777" w:rsidR="00744070" w:rsidRPr="00A375D1" w:rsidRDefault="00744070" w:rsidP="004647A5">
            <w:pPr>
              <w:pStyle w:val="ListParagraph"/>
              <w:ind w:left="0"/>
              <w:contextualSpacing w:val="0"/>
              <w:rPr>
                <w:rFonts w:ascii="Times New Roman" w:hAnsi="Times New Roman" w:cs="Times New Roman"/>
                <w:vertAlign w:val="superscript"/>
              </w:rPr>
            </w:pPr>
            <w:r w:rsidRPr="00893D8C">
              <w:rPr>
                <w:rFonts w:ascii="Times New Roman" w:hAnsi="Times New Roman" w:cs="Times New Roman"/>
              </w:rPr>
              <w:t>Reactive Based</w:t>
            </w:r>
          </w:p>
        </w:tc>
        <w:tc>
          <w:tcPr>
            <w:tcW w:w="3240" w:type="dxa"/>
            <w:vAlign w:val="center"/>
          </w:tcPr>
          <w:p w14:paraId="7BE984FD" w14:textId="77777777" w:rsidR="00744070" w:rsidRPr="00893D8C" w:rsidRDefault="00744070" w:rsidP="004647A5">
            <w:pPr>
              <w:pStyle w:val="ListParagraph"/>
              <w:ind w:left="0"/>
              <w:contextualSpacing w:val="0"/>
              <w:rPr>
                <w:rFonts w:ascii="Times New Roman" w:hAnsi="Times New Roman" w:cs="Times New Roman"/>
              </w:rPr>
            </w:pPr>
            <w:r w:rsidRPr="00893D8C">
              <w:rPr>
                <w:rFonts w:ascii="Times New Roman" w:hAnsi="Times New Roman" w:cs="Times New Roman"/>
              </w:rPr>
              <w:t xml:space="preserve">Assets Generally Lower Value </w:t>
            </w:r>
          </w:p>
          <w:p w14:paraId="489FDCB0" w14:textId="77777777" w:rsidR="00744070" w:rsidRPr="00893D8C" w:rsidRDefault="00744070" w:rsidP="004647A5">
            <w:pPr>
              <w:pStyle w:val="ListParagraph"/>
              <w:ind w:left="0"/>
              <w:contextualSpacing w:val="0"/>
              <w:rPr>
                <w:rFonts w:ascii="Times New Roman" w:hAnsi="Times New Roman" w:cs="Times New Roman"/>
              </w:rPr>
            </w:pPr>
            <w:r w:rsidRPr="00893D8C">
              <w:rPr>
                <w:rFonts w:ascii="Times New Roman" w:hAnsi="Times New Roman" w:cs="Times New Roman"/>
              </w:rPr>
              <w:t>Lower Programmatic Risk</w:t>
            </w:r>
          </w:p>
        </w:tc>
        <w:tc>
          <w:tcPr>
            <w:tcW w:w="2970" w:type="dxa"/>
          </w:tcPr>
          <w:p w14:paraId="37E232AA" w14:textId="77777777" w:rsidR="00744070" w:rsidRPr="00893D8C" w:rsidRDefault="00744070" w:rsidP="00A929C8">
            <w:pPr>
              <w:pStyle w:val="ListParagraph"/>
              <w:numPr>
                <w:ilvl w:val="0"/>
                <w:numId w:val="1"/>
              </w:numPr>
              <w:ind w:left="342" w:hanging="270"/>
              <w:contextualSpacing w:val="0"/>
              <w:rPr>
                <w:rFonts w:ascii="Times New Roman" w:hAnsi="Times New Roman" w:cs="Times New Roman"/>
              </w:rPr>
            </w:pPr>
            <w:r w:rsidRPr="00893D8C">
              <w:rPr>
                <w:rFonts w:ascii="Times New Roman" w:hAnsi="Times New Roman" w:cs="Times New Roman"/>
              </w:rPr>
              <w:t>Inventory</w:t>
            </w:r>
          </w:p>
          <w:p w14:paraId="7BBE7EB8" w14:textId="77777777" w:rsidR="00744070" w:rsidRPr="00893D8C" w:rsidRDefault="00744070" w:rsidP="00A929C8">
            <w:pPr>
              <w:pStyle w:val="ListParagraph"/>
              <w:keepNext/>
              <w:numPr>
                <w:ilvl w:val="0"/>
                <w:numId w:val="1"/>
              </w:numPr>
              <w:ind w:left="342" w:hanging="270"/>
              <w:contextualSpacing w:val="0"/>
              <w:rPr>
                <w:rFonts w:ascii="Times New Roman" w:hAnsi="Times New Roman" w:cs="Times New Roman"/>
              </w:rPr>
            </w:pPr>
            <w:r w:rsidRPr="00893D8C">
              <w:rPr>
                <w:rFonts w:ascii="Times New Roman" w:hAnsi="Times New Roman" w:cs="Times New Roman"/>
              </w:rPr>
              <w:t>General Condition</w:t>
            </w:r>
          </w:p>
        </w:tc>
      </w:tr>
    </w:tbl>
    <w:p w14:paraId="49665370" w14:textId="77777777" w:rsidR="00744070" w:rsidRDefault="00744070" w:rsidP="00744070">
      <w:pPr>
        <w:pStyle w:val="ListParagraph"/>
        <w:spacing w:after="0"/>
        <w:ind w:left="360"/>
        <w:contextualSpacing w:val="0"/>
        <w:rPr>
          <w:rFonts w:ascii="Times New Roman" w:hAnsi="Times New Roman" w:cs="Times New Roman"/>
          <w:b/>
          <w:bCs/>
          <w:sz w:val="24"/>
          <w:szCs w:val="24"/>
        </w:rPr>
      </w:pPr>
    </w:p>
    <w:p w14:paraId="759BCA7F" w14:textId="77777777" w:rsidR="00744070" w:rsidRDefault="00744070" w:rsidP="00744070">
      <w:pPr>
        <w:pStyle w:val="ListParagraph"/>
        <w:spacing w:after="0"/>
        <w:ind w:left="1440" w:hanging="720"/>
        <w:contextualSpacing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051AC">
        <w:rPr>
          <w:rFonts w:ascii="Times New Roman" w:hAnsi="Times New Roman" w:cs="Times New Roman"/>
          <w:sz w:val="24"/>
          <w:szCs w:val="24"/>
        </w:rPr>
        <w:t>Assets that</w:t>
      </w:r>
      <w:r>
        <w:rPr>
          <w:rFonts w:ascii="Times New Roman" w:hAnsi="Times New Roman" w:cs="Times New Roman"/>
          <w:sz w:val="24"/>
          <w:szCs w:val="24"/>
        </w:rPr>
        <w:t>:</w:t>
      </w:r>
    </w:p>
    <w:p w14:paraId="74B47008" w14:textId="647C3421" w:rsidR="00744070" w:rsidRDefault="00744070" w:rsidP="00A929C8">
      <w:pPr>
        <w:pStyle w:val="ListParagraph"/>
        <w:numPr>
          <w:ilvl w:val="0"/>
          <w:numId w:val="6"/>
        </w:numPr>
        <w:spacing w:after="0"/>
        <w:ind w:left="1800"/>
        <w:contextualSpacing w:val="0"/>
        <w:jc w:val="both"/>
        <w:rPr>
          <w:rFonts w:ascii="Times New Roman" w:hAnsi="Times New Roman" w:cs="Times New Roman"/>
          <w:sz w:val="24"/>
          <w:szCs w:val="24"/>
        </w:rPr>
      </w:pPr>
      <w:r w:rsidRPr="00F051AC">
        <w:rPr>
          <w:rFonts w:ascii="Times New Roman" w:hAnsi="Times New Roman" w:cs="Times New Roman"/>
          <w:sz w:val="24"/>
          <w:szCs w:val="24"/>
        </w:rPr>
        <w:t xml:space="preserve">represent a significant percentage of the total cost of the </w:t>
      </w:r>
      <w:r>
        <w:rPr>
          <w:rFonts w:ascii="Times New Roman" w:hAnsi="Times New Roman" w:cs="Times New Roman"/>
          <w:sz w:val="24"/>
          <w:szCs w:val="24"/>
        </w:rPr>
        <w:t xml:space="preserve">FLMA’s transportation </w:t>
      </w:r>
      <w:r w:rsidRPr="00F051AC">
        <w:rPr>
          <w:rFonts w:ascii="Times New Roman" w:hAnsi="Times New Roman" w:cs="Times New Roman"/>
          <w:sz w:val="24"/>
          <w:szCs w:val="24"/>
        </w:rPr>
        <w:t>portfolio</w:t>
      </w:r>
      <w:r>
        <w:rPr>
          <w:rFonts w:ascii="Times New Roman" w:hAnsi="Times New Roman" w:cs="Times New Roman"/>
          <w:sz w:val="24"/>
          <w:szCs w:val="24"/>
        </w:rPr>
        <w:t>; and</w:t>
      </w:r>
      <w:r w:rsidRPr="00F051AC">
        <w:rPr>
          <w:rFonts w:ascii="Times New Roman" w:hAnsi="Times New Roman" w:cs="Times New Roman"/>
          <w:sz w:val="24"/>
          <w:szCs w:val="24"/>
        </w:rPr>
        <w:t xml:space="preserve"> </w:t>
      </w:r>
    </w:p>
    <w:p w14:paraId="493AD386" w14:textId="7EBBFB91" w:rsidR="00744070" w:rsidRPr="00F051AC" w:rsidRDefault="00744070" w:rsidP="00A929C8">
      <w:pPr>
        <w:pStyle w:val="ListParagraph"/>
        <w:numPr>
          <w:ilvl w:val="0"/>
          <w:numId w:val="6"/>
        </w:numPr>
        <w:spacing w:after="0"/>
        <w:ind w:left="1800"/>
        <w:contextualSpacing w:val="0"/>
        <w:jc w:val="both"/>
        <w:rPr>
          <w:rFonts w:ascii="Times New Roman" w:hAnsi="Times New Roman" w:cs="Times New Roman"/>
          <w:sz w:val="24"/>
          <w:szCs w:val="24"/>
        </w:rPr>
      </w:pPr>
      <w:r w:rsidRPr="00F051AC">
        <w:rPr>
          <w:rFonts w:ascii="Times New Roman" w:hAnsi="Times New Roman" w:cs="Times New Roman"/>
          <w:sz w:val="24"/>
          <w:szCs w:val="24"/>
        </w:rPr>
        <w:t xml:space="preserve">consume most </w:t>
      </w:r>
      <w:r>
        <w:rPr>
          <w:rFonts w:ascii="Times New Roman" w:hAnsi="Times New Roman" w:cs="Times New Roman"/>
          <w:sz w:val="24"/>
          <w:szCs w:val="24"/>
        </w:rPr>
        <w:t xml:space="preserve">of </w:t>
      </w:r>
      <w:r w:rsidRPr="00F051AC">
        <w:rPr>
          <w:rFonts w:ascii="Times New Roman" w:hAnsi="Times New Roman" w:cs="Times New Roman"/>
          <w:sz w:val="24"/>
          <w:szCs w:val="24"/>
        </w:rPr>
        <w:t xml:space="preserve">the </w:t>
      </w:r>
      <w:r w:rsidR="00DC6483">
        <w:rPr>
          <w:rFonts w:ascii="Times New Roman" w:hAnsi="Times New Roman" w:cs="Times New Roman"/>
          <w:sz w:val="24"/>
          <w:szCs w:val="24"/>
        </w:rPr>
        <w:t>operation and maintenance (</w:t>
      </w:r>
      <w:r w:rsidRPr="00F051AC">
        <w:rPr>
          <w:rFonts w:ascii="Times New Roman" w:hAnsi="Times New Roman" w:cs="Times New Roman"/>
          <w:sz w:val="24"/>
          <w:szCs w:val="24"/>
        </w:rPr>
        <w:t>O&amp;M</w:t>
      </w:r>
      <w:r w:rsidR="00DC6483">
        <w:rPr>
          <w:rFonts w:ascii="Times New Roman" w:hAnsi="Times New Roman" w:cs="Times New Roman"/>
          <w:sz w:val="24"/>
          <w:szCs w:val="24"/>
        </w:rPr>
        <w:t>)</w:t>
      </w:r>
      <w:r w:rsidRPr="00F051AC">
        <w:rPr>
          <w:rFonts w:ascii="Times New Roman" w:hAnsi="Times New Roman" w:cs="Times New Roman"/>
          <w:sz w:val="24"/>
          <w:szCs w:val="24"/>
        </w:rPr>
        <w:t xml:space="preserve"> budget or have the greatest impact on network availability/reliability</w:t>
      </w:r>
      <w:r>
        <w:rPr>
          <w:rFonts w:ascii="Times New Roman" w:hAnsi="Times New Roman" w:cs="Times New Roman"/>
          <w:sz w:val="24"/>
          <w:szCs w:val="24"/>
        </w:rPr>
        <w:t>.</w:t>
      </w:r>
    </w:p>
    <w:p w14:paraId="70D195D1" w14:textId="77777777" w:rsidR="00744070" w:rsidRDefault="00744070" w:rsidP="00744070">
      <w:pPr>
        <w:pStyle w:val="ListParagraph"/>
        <w:spacing w:after="0"/>
        <w:ind w:left="1440" w:hanging="720"/>
        <w:contextualSpacing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051AC">
        <w:rPr>
          <w:rFonts w:ascii="Times New Roman" w:hAnsi="Times New Roman" w:cs="Times New Roman"/>
          <w:sz w:val="24"/>
          <w:szCs w:val="24"/>
        </w:rPr>
        <w:t xml:space="preserve">Assets, that if they </w:t>
      </w:r>
      <w:r>
        <w:rPr>
          <w:rFonts w:ascii="Times New Roman" w:hAnsi="Times New Roman" w:cs="Times New Roman"/>
          <w:sz w:val="24"/>
          <w:szCs w:val="24"/>
        </w:rPr>
        <w:t>fail or fall below a state of good repair</w:t>
      </w:r>
      <w:r w:rsidRPr="00F051AC">
        <w:rPr>
          <w:rFonts w:ascii="Times New Roman" w:hAnsi="Times New Roman" w:cs="Times New Roman"/>
          <w:sz w:val="24"/>
          <w:szCs w:val="24"/>
        </w:rPr>
        <w:t>, would present the greatest risk to the service provided by the network</w:t>
      </w:r>
      <w:r>
        <w:rPr>
          <w:rFonts w:ascii="Times New Roman" w:hAnsi="Times New Roman" w:cs="Times New Roman"/>
          <w:sz w:val="24"/>
          <w:szCs w:val="24"/>
        </w:rPr>
        <w:t>.</w:t>
      </w:r>
    </w:p>
    <w:p w14:paraId="336D6079" w14:textId="77777777" w:rsidR="00744070" w:rsidRDefault="00744070" w:rsidP="00744070">
      <w:pPr>
        <w:pStyle w:val="ListParagraph"/>
        <w:spacing w:after="0"/>
        <w:ind w:left="1440" w:hanging="720"/>
        <w:contextualSpacing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w:t>
      </w:r>
      <w:r w:rsidRPr="00D1612F">
        <w:rPr>
          <w:rFonts w:ascii="Times New Roman" w:hAnsi="Times New Roman" w:cs="Times New Roman"/>
          <w:sz w:val="24"/>
          <w:szCs w:val="24"/>
        </w:rPr>
        <w:t xml:space="preserve"> </w:t>
      </w:r>
      <w:r>
        <w:rPr>
          <w:rFonts w:ascii="Times New Roman" w:hAnsi="Times New Roman" w:cs="Times New Roman"/>
          <w:sz w:val="24"/>
          <w:szCs w:val="24"/>
        </w:rPr>
        <w:t>“p</w:t>
      </w:r>
      <w:r w:rsidRPr="00D1612F">
        <w:rPr>
          <w:rFonts w:ascii="Times New Roman" w:hAnsi="Times New Roman" w:cs="Times New Roman"/>
          <w:sz w:val="24"/>
          <w:szCs w:val="24"/>
        </w:rPr>
        <w:t xml:space="preserve">erformance </w:t>
      </w:r>
      <w:r>
        <w:rPr>
          <w:rFonts w:ascii="Times New Roman" w:hAnsi="Times New Roman" w:cs="Times New Roman"/>
          <w:sz w:val="24"/>
          <w:szCs w:val="24"/>
        </w:rPr>
        <w:t>target” (in comparison to a “condition target” in the condition based approach)</w:t>
      </w:r>
      <w:r w:rsidRPr="00D1612F">
        <w:rPr>
          <w:rFonts w:ascii="Times New Roman" w:hAnsi="Times New Roman" w:cs="Times New Roman"/>
          <w:sz w:val="24"/>
          <w:szCs w:val="24"/>
        </w:rPr>
        <w:t xml:space="preserve"> </w:t>
      </w:r>
      <w:r>
        <w:rPr>
          <w:rFonts w:ascii="Times New Roman" w:hAnsi="Times New Roman" w:cs="Times New Roman"/>
          <w:sz w:val="24"/>
          <w:szCs w:val="24"/>
        </w:rPr>
        <w:t>will</w:t>
      </w:r>
      <w:r w:rsidRPr="00D1612F">
        <w:rPr>
          <w:rFonts w:ascii="Times New Roman" w:hAnsi="Times New Roman" w:cs="Times New Roman"/>
          <w:sz w:val="24"/>
          <w:szCs w:val="24"/>
        </w:rPr>
        <w:t xml:space="preserve"> </w:t>
      </w:r>
      <w:r>
        <w:rPr>
          <w:rFonts w:ascii="Times New Roman" w:hAnsi="Times New Roman" w:cs="Times New Roman"/>
          <w:sz w:val="24"/>
          <w:szCs w:val="24"/>
        </w:rPr>
        <w:t>require</w:t>
      </w:r>
      <w:r w:rsidRPr="00D1612F">
        <w:rPr>
          <w:rFonts w:ascii="Times New Roman" w:hAnsi="Times New Roman" w:cs="Times New Roman"/>
          <w:sz w:val="24"/>
          <w:szCs w:val="24"/>
        </w:rPr>
        <w:t xml:space="preserve"> more information </w:t>
      </w:r>
      <w:r>
        <w:rPr>
          <w:rFonts w:ascii="Times New Roman" w:hAnsi="Times New Roman" w:cs="Times New Roman"/>
          <w:sz w:val="24"/>
          <w:szCs w:val="24"/>
        </w:rPr>
        <w:t>and/</w:t>
      </w:r>
      <w:r w:rsidRPr="00D1612F">
        <w:rPr>
          <w:rFonts w:ascii="Times New Roman" w:hAnsi="Times New Roman" w:cs="Times New Roman"/>
          <w:sz w:val="24"/>
          <w:szCs w:val="24"/>
        </w:rPr>
        <w:t xml:space="preserve">or involve more analysis to </w:t>
      </w:r>
      <w:r>
        <w:rPr>
          <w:rFonts w:ascii="Times New Roman" w:hAnsi="Times New Roman" w:cs="Times New Roman"/>
          <w:sz w:val="24"/>
          <w:szCs w:val="24"/>
        </w:rPr>
        <w:t>predict condition</w:t>
      </w:r>
      <w:r w:rsidRPr="00D1612F">
        <w:rPr>
          <w:rFonts w:ascii="Times New Roman" w:hAnsi="Times New Roman" w:cs="Times New Roman"/>
          <w:sz w:val="24"/>
          <w:szCs w:val="24"/>
        </w:rPr>
        <w:t xml:space="preserve"> and set targets i.e.</w:t>
      </w:r>
      <w:r>
        <w:rPr>
          <w:rFonts w:ascii="Times New Roman" w:hAnsi="Times New Roman" w:cs="Times New Roman"/>
          <w:sz w:val="24"/>
          <w:szCs w:val="24"/>
        </w:rPr>
        <w:t xml:space="preserve"> “performance forecasting”, </w:t>
      </w:r>
      <w:r w:rsidRPr="00D1612F">
        <w:rPr>
          <w:rFonts w:ascii="Times New Roman" w:hAnsi="Times New Roman" w:cs="Times New Roman"/>
          <w:sz w:val="24"/>
          <w:szCs w:val="24"/>
        </w:rPr>
        <w:t xml:space="preserve"> “deterioration curves” and “cost to maintain”</w:t>
      </w:r>
      <w:r>
        <w:rPr>
          <w:rFonts w:ascii="Times New Roman" w:hAnsi="Times New Roman" w:cs="Times New Roman"/>
          <w:sz w:val="24"/>
          <w:szCs w:val="24"/>
        </w:rPr>
        <w:t>.  This added information is not needed for</w:t>
      </w:r>
      <w:r w:rsidRPr="00D1612F">
        <w:rPr>
          <w:rFonts w:ascii="Times New Roman" w:hAnsi="Times New Roman" w:cs="Times New Roman"/>
          <w:sz w:val="24"/>
          <w:szCs w:val="24"/>
        </w:rPr>
        <w:t xml:space="preserve"> the condition-based approach</w:t>
      </w:r>
      <w:r>
        <w:rPr>
          <w:rFonts w:ascii="Times New Roman" w:hAnsi="Times New Roman" w:cs="Times New Roman"/>
          <w:sz w:val="24"/>
          <w:szCs w:val="24"/>
        </w:rPr>
        <w:t xml:space="preserve"> in this table</w:t>
      </w:r>
      <w:r w:rsidRPr="00D1612F">
        <w:rPr>
          <w:rFonts w:ascii="Times New Roman" w:hAnsi="Times New Roman" w:cs="Times New Roman"/>
          <w:sz w:val="24"/>
          <w:szCs w:val="24"/>
        </w:rPr>
        <w:t xml:space="preserve">.   It may also imply a more frequent or detailed condition analysis, such as collecting condition on 100% </w:t>
      </w:r>
      <w:r>
        <w:rPr>
          <w:rFonts w:ascii="Times New Roman" w:hAnsi="Times New Roman" w:cs="Times New Roman"/>
          <w:sz w:val="24"/>
          <w:szCs w:val="24"/>
        </w:rPr>
        <w:t xml:space="preserve">of a linear asset </w:t>
      </w:r>
      <w:r w:rsidRPr="00D1612F">
        <w:rPr>
          <w:rFonts w:ascii="Times New Roman" w:hAnsi="Times New Roman" w:cs="Times New Roman"/>
          <w:sz w:val="24"/>
          <w:szCs w:val="24"/>
        </w:rPr>
        <w:t>versus on a statistical sample or using windshield type surveys.</w:t>
      </w:r>
    </w:p>
    <w:p w14:paraId="6B4821B5" w14:textId="40FBB6ED" w:rsidR="008E7977" w:rsidRDefault="002A5007" w:rsidP="008E7977">
      <w:pPr>
        <w:pStyle w:val="Heading1"/>
        <w:spacing w:before="0" w:after="200"/>
        <w:ind w:left="720" w:right="720"/>
        <w:jc w:val="center"/>
        <w:rPr>
          <w:rFonts w:ascii="Times New Roman" w:hAnsi="Times New Roman" w:cs="Times New Roman"/>
          <w:color w:val="auto"/>
          <w:sz w:val="32"/>
          <w:szCs w:val="32"/>
        </w:rPr>
      </w:pPr>
      <w:r>
        <w:rPr>
          <w:rFonts w:ascii="Times New Roman" w:hAnsi="Times New Roman" w:cs="Times New Roman"/>
          <w:sz w:val="32"/>
          <w:szCs w:val="32"/>
        </w:rPr>
        <w:br w:type="page"/>
      </w:r>
      <w:bookmarkStart w:id="19" w:name="_Toc103684615"/>
      <w:r w:rsidR="008E7977" w:rsidRPr="000040B4">
        <w:rPr>
          <w:rFonts w:ascii="Times New Roman" w:hAnsi="Times New Roman" w:cs="Times New Roman"/>
          <w:color w:val="auto"/>
          <w:sz w:val="32"/>
          <w:szCs w:val="32"/>
        </w:rPr>
        <w:lastRenderedPageBreak/>
        <w:t xml:space="preserve">APPENDIX </w:t>
      </w:r>
      <w:r w:rsidR="008E7977">
        <w:rPr>
          <w:rFonts w:ascii="Times New Roman" w:hAnsi="Times New Roman" w:cs="Times New Roman"/>
          <w:color w:val="auto"/>
          <w:sz w:val="32"/>
          <w:szCs w:val="32"/>
        </w:rPr>
        <w:t>B</w:t>
      </w:r>
      <w:bookmarkEnd w:id="19"/>
    </w:p>
    <w:p w14:paraId="49420CB2" w14:textId="77777777" w:rsidR="008E7977" w:rsidRDefault="008E7977" w:rsidP="008E7977">
      <w:pPr>
        <w:pStyle w:val="NoSpacing"/>
        <w:spacing w:after="200" w:line="276" w:lineRule="auto"/>
        <w:ind w:left="720" w:right="994"/>
        <w:jc w:val="center"/>
        <w:rPr>
          <w:rFonts w:ascii="Times New Roman" w:hAnsi="Times New Roman" w:cs="Times New Roman"/>
          <w:sz w:val="28"/>
          <w:szCs w:val="28"/>
        </w:rPr>
      </w:pPr>
      <w:r>
        <w:rPr>
          <w:rFonts w:ascii="Times New Roman" w:hAnsi="Times New Roman" w:cs="Times New Roman"/>
          <w:sz w:val="28"/>
          <w:szCs w:val="28"/>
        </w:rPr>
        <w:t>Condition Performance Reporting</w:t>
      </w:r>
      <w:r w:rsidRPr="00772319">
        <w:rPr>
          <w:rFonts w:ascii="Times New Roman" w:hAnsi="Times New Roman" w:cs="Times New Roman"/>
          <w:sz w:val="28"/>
          <w:szCs w:val="28"/>
        </w:rPr>
        <w:t xml:space="preserve"> Template</w:t>
      </w:r>
    </w:p>
    <w:p w14:paraId="1814A69A" w14:textId="05EDF0E5" w:rsidR="008E7977" w:rsidRDefault="008E7977">
      <w:pPr>
        <w:rPr>
          <w:rFonts w:ascii="Times New Roman" w:eastAsiaTheme="majorEastAsia" w:hAnsi="Times New Roman" w:cs="Times New Roman"/>
          <w:b/>
          <w:bCs/>
          <w:sz w:val="32"/>
          <w:szCs w:val="32"/>
        </w:rPr>
      </w:pPr>
    </w:p>
    <w:p w14:paraId="4F680E29" w14:textId="77777777" w:rsidR="008E7977" w:rsidRDefault="008E7977">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14:paraId="038955C5" w14:textId="13A5818F" w:rsidR="005A3320" w:rsidRDefault="002A5007" w:rsidP="005A3320">
      <w:pPr>
        <w:pStyle w:val="Heading1"/>
        <w:spacing w:before="0" w:after="200"/>
        <w:ind w:left="720" w:right="720"/>
        <w:jc w:val="center"/>
        <w:rPr>
          <w:rFonts w:ascii="Times New Roman" w:hAnsi="Times New Roman" w:cs="Times New Roman"/>
          <w:color w:val="auto"/>
          <w:sz w:val="32"/>
          <w:szCs w:val="32"/>
        </w:rPr>
      </w:pPr>
      <w:bookmarkStart w:id="20" w:name="_Toc103684616"/>
      <w:r w:rsidRPr="000040B4">
        <w:rPr>
          <w:rFonts w:ascii="Times New Roman" w:hAnsi="Times New Roman" w:cs="Times New Roman"/>
          <w:color w:val="auto"/>
          <w:sz w:val="32"/>
          <w:szCs w:val="32"/>
        </w:rPr>
        <w:lastRenderedPageBreak/>
        <w:t xml:space="preserve">APPENDIX </w:t>
      </w:r>
      <w:r w:rsidR="008E7977">
        <w:rPr>
          <w:rFonts w:ascii="Times New Roman" w:hAnsi="Times New Roman" w:cs="Times New Roman"/>
          <w:color w:val="auto"/>
          <w:sz w:val="32"/>
          <w:szCs w:val="32"/>
        </w:rPr>
        <w:t>C</w:t>
      </w:r>
      <w:bookmarkEnd w:id="20"/>
      <w:r w:rsidR="009E64C8">
        <w:rPr>
          <w:rFonts w:ascii="Times New Roman" w:hAnsi="Times New Roman" w:cs="Times New Roman"/>
          <w:color w:val="auto"/>
          <w:sz w:val="32"/>
          <w:szCs w:val="32"/>
        </w:rPr>
        <w:t xml:space="preserve"> </w:t>
      </w:r>
    </w:p>
    <w:p w14:paraId="5D0101B3" w14:textId="6904FDE6" w:rsidR="002234A3" w:rsidRDefault="00305EA6" w:rsidP="005A3320">
      <w:pPr>
        <w:pStyle w:val="NoSpacing"/>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The following </w:t>
      </w:r>
      <w:r w:rsidR="002234A3">
        <w:rPr>
          <w:rFonts w:ascii="Times New Roman" w:hAnsi="Times New Roman" w:cs="Times New Roman"/>
          <w:sz w:val="24"/>
          <w:szCs w:val="24"/>
        </w:rPr>
        <w:t xml:space="preserve">is an </w:t>
      </w:r>
      <w:r w:rsidRPr="00305EA6">
        <w:rPr>
          <w:rFonts w:ascii="Times New Roman" w:hAnsi="Times New Roman" w:cs="Times New Roman"/>
          <w:sz w:val="24"/>
          <w:szCs w:val="24"/>
        </w:rPr>
        <w:t xml:space="preserve">example </w:t>
      </w:r>
      <w:r w:rsidR="002234A3">
        <w:rPr>
          <w:rFonts w:ascii="Times New Roman" w:hAnsi="Times New Roman" w:cs="Times New Roman"/>
          <w:sz w:val="24"/>
          <w:szCs w:val="24"/>
        </w:rPr>
        <w:t xml:space="preserve">of a graph which </w:t>
      </w:r>
      <w:r w:rsidR="00F0723F">
        <w:rPr>
          <w:rFonts w:ascii="Times New Roman" w:hAnsi="Times New Roman" w:cs="Times New Roman"/>
          <w:sz w:val="24"/>
          <w:szCs w:val="24"/>
        </w:rPr>
        <w:t>compares the</w:t>
      </w:r>
      <w:r w:rsidRPr="00305EA6">
        <w:rPr>
          <w:rFonts w:ascii="Times New Roman" w:hAnsi="Times New Roman" w:cs="Times New Roman"/>
          <w:sz w:val="24"/>
          <w:szCs w:val="24"/>
        </w:rPr>
        <w:t xml:space="preserve"> baseline target </w:t>
      </w:r>
      <w:r w:rsidR="00F0723F">
        <w:rPr>
          <w:rFonts w:ascii="Times New Roman" w:hAnsi="Times New Roman" w:cs="Times New Roman"/>
          <w:sz w:val="24"/>
          <w:szCs w:val="24"/>
        </w:rPr>
        <w:t>established for the</w:t>
      </w:r>
      <w:r w:rsidR="00EC0B56">
        <w:rPr>
          <w:rFonts w:ascii="Times New Roman" w:hAnsi="Times New Roman" w:cs="Times New Roman"/>
          <w:sz w:val="24"/>
          <w:szCs w:val="24"/>
        </w:rPr>
        <w:t xml:space="preserve"> </w:t>
      </w:r>
      <w:r w:rsidR="00F0723F">
        <w:rPr>
          <w:rFonts w:ascii="Times New Roman" w:hAnsi="Times New Roman" w:cs="Times New Roman"/>
          <w:sz w:val="24"/>
          <w:szCs w:val="24"/>
        </w:rPr>
        <w:t>pavement condition</w:t>
      </w:r>
      <w:r w:rsidR="008E42C5">
        <w:rPr>
          <w:rFonts w:ascii="Times New Roman" w:hAnsi="Times New Roman" w:cs="Times New Roman"/>
          <w:sz w:val="24"/>
          <w:szCs w:val="24"/>
        </w:rPr>
        <w:t xml:space="preserve"> </w:t>
      </w:r>
      <w:r w:rsidR="00F0723F">
        <w:rPr>
          <w:rFonts w:ascii="Times New Roman" w:hAnsi="Times New Roman" w:cs="Times New Roman"/>
          <w:sz w:val="24"/>
          <w:szCs w:val="24"/>
        </w:rPr>
        <w:t xml:space="preserve">with </w:t>
      </w:r>
      <w:r w:rsidRPr="00305EA6">
        <w:rPr>
          <w:rFonts w:ascii="Times New Roman" w:hAnsi="Times New Roman" w:cs="Times New Roman"/>
          <w:sz w:val="24"/>
          <w:szCs w:val="24"/>
        </w:rPr>
        <w:t>annualized target data</w:t>
      </w:r>
      <w:r w:rsidR="00F0723F">
        <w:rPr>
          <w:rFonts w:ascii="Times New Roman" w:hAnsi="Times New Roman" w:cs="Times New Roman"/>
          <w:sz w:val="24"/>
          <w:szCs w:val="24"/>
        </w:rPr>
        <w:t>.</w:t>
      </w:r>
      <w:r w:rsidR="002234A3">
        <w:rPr>
          <w:rFonts w:ascii="Times New Roman" w:hAnsi="Times New Roman" w:cs="Times New Roman"/>
          <w:sz w:val="24"/>
          <w:szCs w:val="24"/>
        </w:rPr>
        <w:t xml:space="preserve"> The FLMAs may represent data collected against targets set for the performance areas in a similar manner if they choose to do so.</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75"/>
        <w:gridCol w:w="712"/>
        <w:gridCol w:w="677"/>
        <w:gridCol w:w="697"/>
        <w:gridCol w:w="663"/>
        <w:gridCol w:w="663"/>
        <w:gridCol w:w="663"/>
        <w:gridCol w:w="791"/>
        <w:gridCol w:w="899"/>
        <w:gridCol w:w="900"/>
        <w:gridCol w:w="720"/>
      </w:tblGrid>
      <w:tr w:rsidR="00CD0344" w:rsidRPr="00305EA6" w14:paraId="65BF2B88" w14:textId="77777777" w:rsidTr="00CD0344">
        <w:trPr>
          <w:trHeight w:val="288"/>
          <w:jc w:val="center"/>
        </w:trPr>
        <w:tc>
          <w:tcPr>
            <w:tcW w:w="845" w:type="dxa"/>
            <w:shd w:val="clear" w:color="000000" w:fill="D0CECE"/>
            <w:noWrap/>
            <w:vAlign w:val="bottom"/>
            <w:hideMark/>
          </w:tcPr>
          <w:p w14:paraId="3DF0C33F"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 xml:space="preserve">Target </w:t>
            </w:r>
          </w:p>
        </w:tc>
        <w:tc>
          <w:tcPr>
            <w:tcW w:w="675" w:type="dxa"/>
            <w:shd w:val="clear" w:color="auto" w:fill="auto"/>
            <w:noWrap/>
            <w:vAlign w:val="bottom"/>
            <w:hideMark/>
          </w:tcPr>
          <w:p w14:paraId="587F1357"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2010</w:t>
            </w:r>
          </w:p>
        </w:tc>
        <w:tc>
          <w:tcPr>
            <w:tcW w:w="712" w:type="dxa"/>
            <w:shd w:val="clear" w:color="auto" w:fill="auto"/>
            <w:noWrap/>
            <w:vAlign w:val="bottom"/>
            <w:hideMark/>
          </w:tcPr>
          <w:p w14:paraId="1E15C713"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2011</w:t>
            </w:r>
          </w:p>
        </w:tc>
        <w:tc>
          <w:tcPr>
            <w:tcW w:w="677" w:type="dxa"/>
            <w:shd w:val="clear" w:color="auto" w:fill="auto"/>
            <w:noWrap/>
            <w:vAlign w:val="bottom"/>
            <w:hideMark/>
          </w:tcPr>
          <w:p w14:paraId="4482EEE8"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2012</w:t>
            </w:r>
          </w:p>
        </w:tc>
        <w:tc>
          <w:tcPr>
            <w:tcW w:w="697" w:type="dxa"/>
            <w:shd w:val="clear" w:color="auto" w:fill="auto"/>
            <w:noWrap/>
            <w:vAlign w:val="bottom"/>
            <w:hideMark/>
          </w:tcPr>
          <w:p w14:paraId="6E140D4D"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2013</w:t>
            </w:r>
          </w:p>
        </w:tc>
        <w:tc>
          <w:tcPr>
            <w:tcW w:w="663" w:type="dxa"/>
            <w:shd w:val="clear" w:color="auto" w:fill="auto"/>
            <w:noWrap/>
            <w:vAlign w:val="bottom"/>
            <w:hideMark/>
          </w:tcPr>
          <w:p w14:paraId="124F26B5"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2014</w:t>
            </w:r>
          </w:p>
        </w:tc>
        <w:tc>
          <w:tcPr>
            <w:tcW w:w="663" w:type="dxa"/>
            <w:shd w:val="clear" w:color="auto" w:fill="auto"/>
            <w:noWrap/>
            <w:vAlign w:val="bottom"/>
            <w:hideMark/>
          </w:tcPr>
          <w:p w14:paraId="018C983E"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2015</w:t>
            </w:r>
          </w:p>
        </w:tc>
        <w:tc>
          <w:tcPr>
            <w:tcW w:w="663" w:type="dxa"/>
            <w:shd w:val="clear" w:color="auto" w:fill="auto"/>
            <w:noWrap/>
            <w:vAlign w:val="bottom"/>
            <w:hideMark/>
          </w:tcPr>
          <w:p w14:paraId="09B935A1"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2016</w:t>
            </w:r>
          </w:p>
        </w:tc>
        <w:tc>
          <w:tcPr>
            <w:tcW w:w="791" w:type="dxa"/>
            <w:shd w:val="clear" w:color="auto" w:fill="auto"/>
            <w:noWrap/>
            <w:vAlign w:val="bottom"/>
            <w:hideMark/>
          </w:tcPr>
          <w:p w14:paraId="214B1052"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2017</w:t>
            </w:r>
          </w:p>
        </w:tc>
        <w:tc>
          <w:tcPr>
            <w:tcW w:w="899" w:type="dxa"/>
            <w:shd w:val="clear" w:color="auto" w:fill="auto"/>
            <w:noWrap/>
            <w:vAlign w:val="bottom"/>
            <w:hideMark/>
          </w:tcPr>
          <w:p w14:paraId="57BDECEC"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2018</w:t>
            </w:r>
          </w:p>
        </w:tc>
        <w:tc>
          <w:tcPr>
            <w:tcW w:w="900" w:type="dxa"/>
            <w:shd w:val="clear" w:color="auto" w:fill="auto"/>
            <w:noWrap/>
            <w:vAlign w:val="bottom"/>
            <w:hideMark/>
          </w:tcPr>
          <w:p w14:paraId="2C36F4BC"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2019</w:t>
            </w:r>
          </w:p>
        </w:tc>
        <w:tc>
          <w:tcPr>
            <w:tcW w:w="720" w:type="dxa"/>
            <w:shd w:val="clear" w:color="auto" w:fill="auto"/>
            <w:noWrap/>
            <w:vAlign w:val="bottom"/>
            <w:hideMark/>
          </w:tcPr>
          <w:p w14:paraId="5357AE1B"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2020</w:t>
            </w:r>
          </w:p>
        </w:tc>
      </w:tr>
      <w:tr w:rsidR="00CD0344" w:rsidRPr="00305EA6" w14:paraId="48B29EE3" w14:textId="77777777" w:rsidTr="00CD0344">
        <w:trPr>
          <w:trHeight w:val="288"/>
          <w:jc w:val="center"/>
        </w:trPr>
        <w:tc>
          <w:tcPr>
            <w:tcW w:w="845" w:type="dxa"/>
            <w:shd w:val="clear" w:color="000000" w:fill="D0CECE"/>
            <w:noWrap/>
            <w:vAlign w:val="bottom"/>
            <w:hideMark/>
          </w:tcPr>
          <w:p w14:paraId="01748109" w14:textId="77777777" w:rsidR="005A3320" w:rsidRPr="00305EA6" w:rsidRDefault="005A3320" w:rsidP="00305EA6">
            <w:pPr>
              <w:spacing w:after="0" w:line="240" w:lineRule="auto"/>
              <w:jc w:val="center"/>
              <w:rPr>
                <w:rFonts w:ascii="Calibri" w:eastAsia="Times New Roman" w:hAnsi="Calibri" w:cs="Calibri"/>
                <w:b/>
                <w:bCs/>
                <w:color w:val="000000"/>
              </w:rPr>
            </w:pPr>
            <w:r w:rsidRPr="00305EA6">
              <w:rPr>
                <w:rFonts w:ascii="Calibri" w:eastAsia="Times New Roman" w:hAnsi="Calibri" w:cs="Calibri"/>
                <w:b/>
                <w:bCs/>
                <w:color w:val="000000"/>
              </w:rPr>
              <w:t>85%</w:t>
            </w:r>
          </w:p>
        </w:tc>
        <w:tc>
          <w:tcPr>
            <w:tcW w:w="675" w:type="dxa"/>
            <w:shd w:val="clear" w:color="auto" w:fill="auto"/>
            <w:noWrap/>
            <w:vAlign w:val="bottom"/>
            <w:hideMark/>
          </w:tcPr>
          <w:p w14:paraId="6D86E0E7" w14:textId="77777777" w:rsidR="005A3320" w:rsidRPr="00305EA6" w:rsidRDefault="005A3320" w:rsidP="00305EA6">
            <w:pPr>
              <w:spacing w:after="0" w:line="240" w:lineRule="auto"/>
              <w:jc w:val="center"/>
              <w:rPr>
                <w:rFonts w:ascii="Calibri" w:eastAsia="Times New Roman" w:hAnsi="Calibri" w:cs="Calibri"/>
                <w:color w:val="000000"/>
              </w:rPr>
            </w:pPr>
            <w:r w:rsidRPr="00305EA6">
              <w:rPr>
                <w:rFonts w:ascii="Calibri" w:eastAsia="Times New Roman" w:hAnsi="Calibri" w:cs="Calibri"/>
                <w:color w:val="000000"/>
              </w:rPr>
              <w:t>55%</w:t>
            </w:r>
          </w:p>
        </w:tc>
        <w:tc>
          <w:tcPr>
            <w:tcW w:w="712" w:type="dxa"/>
            <w:shd w:val="clear" w:color="auto" w:fill="auto"/>
            <w:noWrap/>
            <w:vAlign w:val="bottom"/>
            <w:hideMark/>
          </w:tcPr>
          <w:p w14:paraId="6A6EE551" w14:textId="77777777" w:rsidR="005A3320" w:rsidRPr="00305EA6" w:rsidRDefault="005A3320" w:rsidP="00305EA6">
            <w:pPr>
              <w:spacing w:after="0" w:line="240" w:lineRule="auto"/>
              <w:jc w:val="center"/>
              <w:rPr>
                <w:rFonts w:ascii="Calibri" w:eastAsia="Times New Roman" w:hAnsi="Calibri" w:cs="Calibri"/>
                <w:color w:val="000000"/>
              </w:rPr>
            </w:pPr>
            <w:r w:rsidRPr="00305EA6">
              <w:rPr>
                <w:rFonts w:ascii="Calibri" w:eastAsia="Times New Roman" w:hAnsi="Calibri" w:cs="Calibri"/>
                <w:color w:val="000000"/>
              </w:rPr>
              <w:t>71%</w:t>
            </w:r>
          </w:p>
        </w:tc>
        <w:tc>
          <w:tcPr>
            <w:tcW w:w="677" w:type="dxa"/>
            <w:shd w:val="clear" w:color="auto" w:fill="auto"/>
            <w:noWrap/>
            <w:vAlign w:val="bottom"/>
            <w:hideMark/>
          </w:tcPr>
          <w:p w14:paraId="3B605348" w14:textId="77777777" w:rsidR="005A3320" w:rsidRPr="00305EA6" w:rsidRDefault="005A3320" w:rsidP="00305EA6">
            <w:pPr>
              <w:spacing w:after="0" w:line="240" w:lineRule="auto"/>
              <w:jc w:val="center"/>
              <w:rPr>
                <w:rFonts w:ascii="Calibri" w:eastAsia="Times New Roman" w:hAnsi="Calibri" w:cs="Calibri"/>
                <w:color w:val="000000"/>
              </w:rPr>
            </w:pPr>
            <w:r w:rsidRPr="00305EA6">
              <w:rPr>
                <w:rFonts w:ascii="Calibri" w:eastAsia="Times New Roman" w:hAnsi="Calibri" w:cs="Calibri"/>
                <w:color w:val="000000"/>
              </w:rPr>
              <w:t>78%</w:t>
            </w:r>
          </w:p>
        </w:tc>
        <w:tc>
          <w:tcPr>
            <w:tcW w:w="697" w:type="dxa"/>
            <w:shd w:val="clear" w:color="auto" w:fill="auto"/>
            <w:noWrap/>
            <w:vAlign w:val="bottom"/>
            <w:hideMark/>
          </w:tcPr>
          <w:p w14:paraId="7967B87C" w14:textId="77777777" w:rsidR="005A3320" w:rsidRPr="00305EA6" w:rsidRDefault="005A3320" w:rsidP="00305EA6">
            <w:pPr>
              <w:spacing w:after="0" w:line="240" w:lineRule="auto"/>
              <w:jc w:val="center"/>
              <w:rPr>
                <w:rFonts w:ascii="Calibri" w:eastAsia="Times New Roman" w:hAnsi="Calibri" w:cs="Calibri"/>
                <w:color w:val="000000"/>
              </w:rPr>
            </w:pPr>
            <w:r w:rsidRPr="00305EA6">
              <w:rPr>
                <w:rFonts w:ascii="Calibri" w:eastAsia="Times New Roman" w:hAnsi="Calibri" w:cs="Calibri"/>
                <w:color w:val="000000"/>
              </w:rPr>
              <w:t>78%</w:t>
            </w:r>
          </w:p>
        </w:tc>
        <w:tc>
          <w:tcPr>
            <w:tcW w:w="663" w:type="dxa"/>
            <w:shd w:val="clear" w:color="auto" w:fill="auto"/>
            <w:noWrap/>
            <w:vAlign w:val="bottom"/>
            <w:hideMark/>
          </w:tcPr>
          <w:p w14:paraId="1B1D6A41" w14:textId="77777777" w:rsidR="005A3320" w:rsidRPr="00305EA6" w:rsidRDefault="005A3320" w:rsidP="00305EA6">
            <w:pPr>
              <w:spacing w:after="0" w:line="240" w:lineRule="auto"/>
              <w:jc w:val="center"/>
              <w:rPr>
                <w:rFonts w:ascii="Calibri" w:eastAsia="Times New Roman" w:hAnsi="Calibri" w:cs="Calibri"/>
                <w:color w:val="000000"/>
              </w:rPr>
            </w:pPr>
            <w:r w:rsidRPr="00305EA6">
              <w:rPr>
                <w:rFonts w:ascii="Calibri" w:eastAsia="Times New Roman" w:hAnsi="Calibri" w:cs="Calibri"/>
                <w:color w:val="000000"/>
              </w:rPr>
              <w:t>77%</w:t>
            </w:r>
          </w:p>
        </w:tc>
        <w:tc>
          <w:tcPr>
            <w:tcW w:w="663" w:type="dxa"/>
            <w:shd w:val="clear" w:color="auto" w:fill="auto"/>
            <w:noWrap/>
            <w:vAlign w:val="bottom"/>
            <w:hideMark/>
          </w:tcPr>
          <w:p w14:paraId="5282072B" w14:textId="77777777" w:rsidR="005A3320" w:rsidRPr="00305EA6" w:rsidRDefault="005A3320" w:rsidP="00305EA6">
            <w:pPr>
              <w:spacing w:after="0" w:line="240" w:lineRule="auto"/>
              <w:jc w:val="center"/>
              <w:rPr>
                <w:rFonts w:ascii="Calibri" w:eastAsia="Times New Roman" w:hAnsi="Calibri" w:cs="Calibri"/>
                <w:color w:val="000000"/>
              </w:rPr>
            </w:pPr>
            <w:r w:rsidRPr="00305EA6">
              <w:rPr>
                <w:rFonts w:ascii="Calibri" w:eastAsia="Times New Roman" w:hAnsi="Calibri" w:cs="Calibri"/>
                <w:color w:val="000000"/>
              </w:rPr>
              <w:t>78%</w:t>
            </w:r>
          </w:p>
        </w:tc>
        <w:tc>
          <w:tcPr>
            <w:tcW w:w="663" w:type="dxa"/>
            <w:shd w:val="clear" w:color="auto" w:fill="auto"/>
            <w:noWrap/>
            <w:vAlign w:val="bottom"/>
            <w:hideMark/>
          </w:tcPr>
          <w:p w14:paraId="6159E85E" w14:textId="77777777" w:rsidR="005A3320" w:rsidRPr="00305EA6" w:rsidRDefault="005A3320" w:rsidP="00305EA6">
            <w:pPr>
              <w:spacing w:after="0" w:line="240" w:lineRule="auto"/>
              <w:jc w:val="center"/>
              <w:rPr>
                <w:rFonts w:ascii="Calibri" w:eastAsia="Times New Roman" w:hAnsi="Calibri" w:cs="Calibri"/>
                <w:color w:val="000000"/>
              </w:rPr>
            </w:pPr>
            <w:r w:rsidRPr="00305EA6">
              <w:rPr>
                <w:rFonts w:ascii="Calibri" w:eastAsia="Times New Roman" w:hAnsi="Calibri" w:cs="Calibri"/>
                <w:color w:val="000000"/>
              </w:rPr>
              <w:t>79%</w:t>
            </w:r>
          </w:p>
        </w:tc>
        <w:tc>
          <w:tcPr>
            <w:tcW w:w="791" w:type="dxa"/>
            <w:shd w:val="clear" w:color="auto" w:fill="auto"/>
            <w:noWrap/>
            <w:vAlign w:val="bottom"/>
            <w:hideMark/>
          </w:tcPr>
          <w:p w14:paraId="51343FA1" w14:textId="77777777" w:rsidR="005A3320" w:rsidRPr="00305EA6" w:rsidRDefault="005A3320" w:rsidP="00305EA6">
            <w:pPr>
              <w:spacing w:after="0" w:line="240" w:lineRule="auto"/>
              <w:jc w:val="center"/>
              <w:rPr>
                <w:rFonts w:ascii="Calibri" w:eastAsia="Times New Roman" w:hAnsi="Calibri" w:cs="Calibri"/>
                <w:color w:val="000000"/>
              </w:rPr>
            </w:pPr>
            <w:r w:rsidRPr="00305EA6">
              <w:rPr>
                <w:rFonts w:ascii="Calibri" w:eastAsia="Times New Roman" w:hAnsi="Calibri" w:cs="Calibri"/>
                <w:color w:val="000000"/>
              </w:rPr>
              <w:t>80%</w:t>
            </w:r>
          </w:p>
        </w:tc>
        <w:tc>
          <w:tcPr>
            <w:tcW w:w="899" w:type="dxa"/>
            <w:shd w:val="clear" w:color="auto" w:fill="auto"/>
            <w:noWrap/>
            <w:vAlign w:val="bottom"/>
            <w:hideMark/>
          </w:tcPr>
          <w:p w14:paraId="5C79E964" w14:textId="77777777" w:rsidR="005A3320" w:rsidRPr="00305EA6" w:rsidRDefault="005A3320" w:rsidP="00305EA6">
            <w:pPr>
              <w:spacing w:after="0" w:line="240" w:lineRule="auto"/>
              <w:jc w:val="center"/>
              <w:rPr>
                <w:rFonts w:ascii="Calibri" w:eastAsia="Times New Roman" w:hAnsi="Calibri" w:cs="Calibri"/>
                <w:color w:val="000000"/>
              </w:rPr>
            </w:pPr>
            <w:r w:rsidRPr="00305EA6">
              <w:rPr>
                <w:rFonts w:ascii="Calibri" w:eastAsia="Times New Roman" w:hAnsi="Calibri" w:cs="Calibri"/>
                <w:color w:val="000000"/>
              </w:rPr>
              <w:t>80%</w:t>
            </w:r>
          </w:p>
        </w:tc>
        <w:tc>
          <w:tcPr>
            <w:tcW w:w="900" w:type="dxa"/>
            <w:shd w:val="clear" w:color="auto" w:fill="auto"/>
            <w:noWrap/>
            <w:vAlign w:val="bottom"/>
            <w:hideMark/>
          </w:tcPr>
          <w:p w14:paraId="4BFB7C5E" w14:textId="77777777" w:rsidR="005A3320" w:rsidRPr="00305EA6" w:rsidRDefault="005A3320" w:rsidP="00305EA6">
            <w:pPr>
              <w:spacing w:after="0" w:line="240" w:lineRule="auto"/>
              <w:jc w:val="center"/>
              <w:rPr>
                <w:rFonts w:ascii="Calibri" w:eastAsia="Times New Roman" w:hAnsi="Calibri" w:cs="Calibri"/>
                <w:color w:val="000000"/>
              </w:rPr>
            </w:pPr>
            <w:r w:rsidRPr="00305EA6">
              <w:rPr>
                <w:rFonts w:ascii="Calibri" w:eastAsia="Times New Roman" w:hAnsi="Calibri" w:cs="Calibri"/>
                <w:color w:val="000000"/>
              </w:rPr>
              <w:t>80%</w:t>
            </w:r>
          </w:p>
        </w:tc>
        <w:tc>
          <w:tcPr>
            <w:tcW w:w="720" w:type="dxa"/>
            <w:shd w:val="clear" w:color="auto" w:fill="auto"/>
            <w:noWrap/>
            <w:vAlign w:val="bottom"/>
            <w:hideMark/>
          </w:tcPr>
          <w:p w14:paraId="09DEF03A" w14:textId="77777777" w:rsidR="005A3320" w:rsidRPr="00305EA6" w:rsidRDefault="005A3320" w:rsidP="00305EA6">
            <w:pPr>
              <w:spacing w:after="0" w:line="240" w:lineRule="auto"/>
              <w:jc w:val="center"/>
              <w:rPr>
                <w:rFonts w:ascii="Calibri" w:eastAsia="Times New Roman" w:hAnsi="Calibri" w:cs="Calibri"/>
                <w:color w:val="000000"/>
              </w:rPr>
            </w:pPr>
            <w:r w:rsidRPr="00305EA6">
              <w:rPr>
                <w:rFonts w:ascii="Calibri" w:eastAsia="Times New Roman" w:hAnsi="Calibri" w:cs="Calibri"/>
                <w:color w:val="000000"/>
              </w:rPr>
              <w:t>80%</w:t>
            </w:r>
          </w:p>
        </w:tc>
      </w:tr>
    </w:tbl>
    <w:p w14:paraId="196837BB" w14:textId="497183AE" w:rsidR="00305EA6" w:rsidRDefault="00305EA6" w:rsidP="00305EA6">
      <w:pPr>
        <w:pStyle w:val="NoSpacing"/>
        <w:spacing w:after="200" w:line="276" w:lineRule="auto"/>
        <w:ind w:left="720" w:right="994"/>
        <w:rPr>
          <w:rFonts w:ascii="Times New Roman" w:hAnsi="Times New Roman" w:cs="Times New Roman"/>
          <w:sz w:val="24"/>
          <w:szCs w:val="24"/>
        </w:rPr>
      </w:pPr>
    </w:p>
    <w:p w14:paraId="22D59822" w14:textId="33253D33" w:rsidR="00F0723F" w:rsidRDefault="008E42C5" w:rsidP="008E42C5">
      <w:pPr>
        <w:pStyle w:val="NoSpacing"/>
        <w:spacing w:after="200" w:line="276" w:lineRule="auto"/>
        <w:ind w:left="720" w:right="994"/>
        <w:jc w:val="center"/>
        <w:rPr>
          <w:rFonts w:ascii="Times New Roman" w:hAnsi="Times New Roman" w:cs="Times New Roman"/>
          <w:sz w:val="24"/>
          <w:szCs w:val="24"/>
        </w:rPr>
      </w:pPr>
      <w:r>
        <w:rPr>
          <w:noProof/>
        </w:rPr>
        <w:drawing>
          <wp:inline distT="0" distB="0" distL="0" distR="0" wp14:anchorId="60854BE3" wp14:editId="6975B71A">
            <wp:extent cx="5311140" cy="3928110"/>
            <wp:effectExtent l="0" t="0" r="3810" b="15240"/>
            <wp:docPr id="3" name="Chart 3">
              <a:extLst xmlns:a="http://schemas.openxmlformats.org/drawingml/2006/main">
                <a:ext uri="{FF2B5EF4-FFF2-40B4-BE49-F238E27FC236}">
                  <a16:creationId xmlns:a16="http://schemas.microsoft.com/office/drawing/2014/main" id="{9FCE8DEF-623C-45C7-B614-706B9821F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A9A319" w14:textId="24E2BA32" w:rsidR="00772319" w:rsidRDefault="00772319" w:rsidP="008E42C5">
      <w:pPr>
        <w:pStyle w:val="NoSpacing"/>
        <w:spacing w:after="200" w:line="276" w:lineRule="auto"/>
        <w:ind w:left="720" w:right="994"/>
        <w:jc w:val="center"/>
        <w:rPr>
          <w:rFonts w:ascii="Times New Roman" w:hAnsi="Times New Roman" w:cs="Times New Roman"/>
          <w:sz w:val="24"/>
          <w:szCs w:val="24"/>
        </w:rPr>
      </w:pPr>
    </w:p>
    <w:p w14:paraId="290DC7EA" w14:textId="10BB14E2" w:rsidR="00772319" w:rsidRDefault="00772319" w:rsidP="008E42C5">
      <w:pPr>
        <w:pStyle w:val="NoSpacing"/>
        <w:spacing w:after="200" w:line="276" w:lineRule="auto"/>
        <w:ind w:left="720" w:right="994"/>
        <w:jc w:val="center"/>
        <w:rPr>
          <w:rFonts w:ascii="Times New Roman" w:hAnsi="Times New Roman" w:cs="Times New Roman"/>
          <w:sz w:val="24"/>
          <w:szCs w:val="24"/>
        </w:rPr>
      </w:pPr>
    </w:p>
    <w:p w14:paraId="741CD068" w14:textId="1074095D" w:rsidR="00772319" w:rsidRDefault="00772319" w:rsidP="008E42C5">
      <w:pPr>
        <w:pStyle w:val="NoSpacing"/>
        <w:spacing w:after="200" w:line="276" w:lineRule="auto"/>
        <w:ind w:left="720" w:right="994"/>
        <w:jc w:val="center"/>
        <w:rPr>
          <w:rFonts w:ascii="Times New Roman" w:hAnsi="Times New Roman" w:cs="Times New Roman"/>
          <w:sz w:val="24"/>
          <w:szCs w:val="24"/>
        </w:rPr>
      </w:pPr>
    </w:p>
    <w:p w14:paraId="4E97F7B2" w14:textId="3706495F" w:rsidR="00772319" w:rsidRDefault="00772319" w:rsidP="008E42C5">
      <w:pPr>
        <w:pStyle w:val="NoSpacing"/>
        <w:spacing w:after="200" w:line="276" w:lineRule="auto"/>
        <w:ind w:left="720" w:right="994"/>
        <w:jc w:val="center"/>
        <w:rPr>
          <w:rFonts w:ascii="Times New Roman" w:hAnsi="Times New Roman" w:cs="Times New Roman"/>
          <w:sz w:val="24"/>
          <w:szCs w:val="24"/>
        </w:rPr>
      </w:pPr>
    </w:p>
    <w:p w14:paraId="073995F6" w14:textId="473AA6AE" w:rsidR="00772319" w:rsidRDefault="00772319" w:rsidP="008E42C5">
      <w:pPr>
        <w:pStyle w:val="NoSpacing"/>
        <w:spacing w:after="200" w:line="276" w:lineRule="auto"/>
        <w:ind w:left="720" w:right="994"/>
        <w:jc w:val="center"/>
        <w:rPr>
          <w:rFonts w:ascii="Times New Roman" w:hAnsi="Times New Roman" w:cs="Times New Roman"/>
          <w:sz w:val="24"/>
          <w:szCs w:val="24"/>
        </w:rPr>
      </w:pPr>
    </w:p>
    <w:p w14:paraId="30193069" w14:textId="516305C2" w:rsidR="00772319" w:rsidRDefault="00772319" w:rsidP="008E42C5">
      <w:pPr>
        <w:pStyle w:val="NoSpacing"/>
        <w:spacing w:after="200" w:line="276" w:lineRule="auto"/>
        <w:ind w:left="720" w:right="994"/>
        <w:jc w:val="center"/>
        <w:rPr>
          <w:rFonts w:ascii="Times New Roman" w:hAnsi="Times New Roman" w:cs="Times New Roman"/>
          <w:sz w:val="24"/>
          <w:szCs w:val="24"/>
        </w:rPr>
      </w:pPr>
    </w:p>
    <w:p w14:paraId="5EE0C69B" w14:textId="70300E0F" w:rsidR="00772319" w:rsidRDefault="00772319" w:rsidP="008E42C5">
      <w:pPr>
        <w:pStyle w:val="NoSpacing"/>
        <w:spacing w:after="200" w:line="276" w:lineRule="auto"/>
        <w:ind w:left="720" w:right="994"/>
        <w:jc w:val="center"/>
        <w:rPr>
          <w:rFonts w:ascii="Times New Roman" w:hAnsi="Times New Roman" w:cs="Times New Roman"/>
          <w:sz w:val="24"/>
          <w:szCs w:val="24"/>
        </w:rPr>
      </w:pPr>
    </w:p>
    <w:p w14:paraId="33320F67" w14:textId="61EA6C59" w:rsidR="00772319" w:rsidRDefault="00772319" w:rsidP="00772319">
      <w:pPr>
        <w:pStyle w:val="Heading1"/>
        <w:spacing w:before="0" w:after="200"/>
        <w:ind w:left="720" w:right="720"/>
        <w:jc w:val="center"/>
        <w:rPr>
          <w:rFonts w:ascii="Times New Roman" w:hAnsi="Times New Roman" w:cs="Times New Roman"/>
          <w:color w:val="auto"/>
          <w:sz w:val="32"/>
          <w:szCs w:val="32"/>
        </w:rPr>
      </w:pPr>
      <w:bookmarkStart w:id="21" w:name="_Toc103684617"/>
      <w:r w:rsidRPr="000040B4">
        <w:rPr>
          <w:rFonts w:ascii="Times New Roman" w:hAnsi="Times New Roman" w:cs="Times New Roman"/>
          <w:color w:val="auto"/>
          <w:sz w:val="32"/>
          <w:szCs w:val="32"/>
        </w:rPr>
        <w:lastRenderedPageBreak/>
        <w:t xml:space="preserve">APPENDIX </w:t>
      </w:r>
      <w:r w:rsidR="0036332E">
        <w:rPr>
          <w:rFonts w:ascii="Times New Roman" w:hAnsi="Times New Roman" w:cs="Times New Roman"/>
          <w:color w:val="auto"/>
          <w:sz w:val="32"/>
          <w:szCs w:val="32"/>
        </w:rPr>
        <w:t>D</w:t>
      </w:r>
      <w:bookmarkEnd w:id="21"/>
    </w:p>
    <w:p w14:paraId="7E9848E9" w14:textId="1422AFDF" w:rsidR="00772319" w:rsidRDefault="00772319" w:rsidP="00772319">
      <w:pPr>
        <w:pStyle w:val="NoSpacing"/>
        <w:spacing w:after="200" w:line="276" w:lineRule="auto"/>
        <w:ind w:left="720" w:right="994"/>
        <w:jc w:val="center"/>
        <w:rPr>
          <w:rFonts w:ascii="Times New Roman" w:hAnsi="Times New Roman" w:cs="Times New Roman"/>
          <w:sz w:val="28"/>
          <w:szCs w:val="28"/>
        </w:rPr>
      </w:pPr>
      <w:r w:rsidRPr="00772319">
        <w:rPr>
          <w:rFonts w:ascii="Times New Roman" w:hAnsi="Times New Roman" w:cs="Times New Roman"/>
          <w:sz w:val="28"/>
          <w:szCs w:val="28"/>
        </w:rPr>
        <w:t>Annual FLTP Accomplishment Report Template</w:t>
      </w:r>
    </w:p>
    <w:p w14:paraId="62388E1E" w14:textId="098F207F" w:rsidR="00772319" w:rsidRPr="00772319" w:rsidRDefault="00772319" w:rsidP="00772319">
      <w:pPr>
        <w:spacing w:after="0" w:line="240" w:lineRule="auto"/>
        <w:contextualSpacing/>
        <w:rPr>
          <w:rFonts w:ascii="Times New Roman" w:hAnsi="Times New Roman" w:cs="Times New Roman"/>
          <w:sz w:val="24"/>
          <w:szCs w:val="24"/>
        </w:rPr>
      </w:pPr>
      <w:r w:rsidRPr="00772319">
        <w:rPr>
          <w:rFonts w:ascii="Times New Roman" w:hAnsi="Times New Roman" w:cs="Times New Roman"/>
          <w:sz w:val="24"/>
          <w:szCs w:val="24"/>
        </w:rPr>
        <w:t>FLMAs are encouraged to describe their accomplishments in alignment with their proposed investment strateg</w:t>
      </w:r>
      <w:r w:rsidR="00227945">
        <w:rPr>
          <w:rFonts w:ascii="Times New Roman" w:hAnsi="Times New Roman" w:cs="Times New Roman"/>
          <w:sz w:val="24"/>
          <w:szCs w:val="24"/>
        </w:rPr>
        <w:t>y</w:t>
      </w:r>
      <w:r w:rsidRPr="00772319">
        <w:rPr>
          <w:rFonts w:ascii="Times New Roman" w:hAnsi="Times New Roman" w:cs="Times New Roman"/>
          <w:sz w:val="24"/>
          <w:szCs w:val="24"/>
        </w:rPr>
        <w:t xml:space="preserve"> as outlined in this instructional document. We encourage FLMAs to augment their accomplishment stories with the data cited below.</w:t>
      </w:r>
    </w:p>
    <w:p w14:paraId="2EB10B96" w14:textId="77777777" w:rsidR="00772319" w:rsidRPr="00772319" w:rsidRDefault="00772319" w:rsidP="00772319">
      <w:pPr>
        <w:spacing w:after="0" w:line="240" w:lineRule="auto"/>
        <w:contextualSpacing/>
        <w:rPr>
          <w:rFonts w:ascii="Times New Roman" w:hAnsi="Times New Roman" w:cs="Times New Roman"/>
          <w:sz w:val="24"/>
          <w:szCs w:val="24"/>
        </w:rPr>
      </w:pPr>
    </w:p>
    <w:p w14:paraId="5916488A" w14:textId="77777777" w:rsidR="00772319" w:rsidRPr="00772319" w:rsidRDefault="00772319" w:rsidP="00A929C8">
      <w:pPr>
        <w:pStyle w:val="ListParagraph"/>
        <w:numPr>
          <w:ilvl w:val="0"/>
          <w:numId w:val="7"/>
        </w:numPr>
        <w:spacing w:before="120" w:after="120" w:line="240" w:lineRule="auto"/>
        <w:ind w:left="360"/>
        <w:contextualSpacing w:val="0"/>
        <w:rPr>
          <w:rFonts w:ascii="Times New Roman" w:hAnsi="Times New Roman" w:cs="Times New Roman"/>
          <w:sz w:val="24"/>
          <w:szCs w:val="24"/>
        </w:rPr>
      </w:pPr>
      <w:r w:rsidRPr="00772319">
        <w:rPr>
          <w:rFonts w:ascii="Times New Roman" w:hAnsi="Times New Roman" w:cs="Times New Roman"/>
          <w:sz w:val="24"/>
          <w:szCs w:val="24"/>
        </w:rPr>
        <w:t>Describe the FLMA’s transportation system that is included in the FLTFI.</w:t>
      </w:r>
    </w:p>
    <w:p w14:paraId="46E9C82C" w14:textId="77777777" w:rsidR="00772319" w:rsidRPr="00772319" w:rsidRDefault="00772319" w:rsidP="00A929C8">
      <w:pPr>
        <w:pStyle w:val="ListParagraph"/>
        <w:numPr>
          <w:ilvl w:val="0"/>
          <w:numId w:val="7"/>
        </w:numPr>
        <w:spacing w:before="120" w:after="120" w:line="240" w:lineRule="auto"/>
        <w:ind w:left="36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State of Good Repair:  </w:t>
      </w:r>
    </w:p>
    <w:p w14:paraId="11B12B5C"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Paved roads leading to HUR-EG: </w:t>
      </w:r>
    </w:p>
    <w:p w14:paraId="54D92710"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Funds obligated; </w:t>
      </w:r>
    </w:p>
    <w:p w14:paraId="29BC64F5"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The number of projects, number of miles, and types of work; </w:t>
      </w:r>
    </w:p>
    <w:p w14:paraId="3B79E42B"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The condition of the road network; and</w:t>
      </w:r>
    </w:p>
    <w:p w14:paraId="4E33254E"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The progress towards performance targets described in the Investment Strategy.</w:t>
      </w:r>
    </w:p>
    <w:p w14:paraId="1B2AF974"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Paved roads overall in the FLTFI:</w:t>
      </w:r>
    </w:p>
    <w:p w14:paraId="5AB0A1FE"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Funds obligated; </w:t>
      </w:r>
    </w:p>
    <w:p w14:paraId="454378B8"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The number of projects, number of miles, and types of work; </w:t>
      </w:r>
    </w:p>
    <w:p w14:paraId="487B16D1"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The condition of the road network as available; and</w:t>
      </w:r>
    </w:p>
    <w:p w14:paraId="35271FF3"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As applicable, progress towards performance targets described in the Investment Strategy.</w:t>
      </w:r>
    </w:p>
    <w:p w14:paraId="390186D1"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Unpaved, native and gravel roads leading to HUR-EG:</w:t>
      </w:r>
    </w:p>
    <w:p w14:paraId="0A9DDC17"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Funds obligated; </w:t>
      </w:r>
    </w:p>
    <w:p w14:paraId="651121DD"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The number of projects, number of miles, type of work; </w:t>
      </w:r>
    </w:p>
    <w:p w14:paraId="5D4D0E60"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The condition of the road network; and</w:t>
      </w:r>
    </w:p>
    <w:p w14:paraId="702D52B6"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As applicable, progress towards performance targets described in the Investment Strategy.</w:t>
      </w:r>
    </w:p>
    <w:p w14:paraId="15CB0828"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Unpaved, native and gravel roads overall in the FLTFI:</w:t>
      </w:r>
    </w:p>
    <w:p w14:paraId="290499B6"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Funds obligated; </w:t>
      </w:r>
    </w:p>
    <w:p w14:paraId="308990EB"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The number of projects, number of miles, type of work; </w:t>
      </w:r>
    </w:p>
    <w:p w14:paraId="28894AE2"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The condition of the road network as available; and</w:t>
      </w:r>
    </w:p>
    <w:p w14:paraId="360A8CD4"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As applicable, progress towards performance targets described in the Investment Strategy.</w:t>
      </w:r>
    </w:p>
    <w:p w14:paraId="4DC97ADB" w14:textId="209E9B7E"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As applicable, other assets on the FLTFI, e.g., trails, parking lots, </w:t>
      </w:r>
      <w:r w:rsidR="009B5778">
        <w:rPr>
          <w:rFonts w:ascii="Times New Roman" w:hAnsi="Times New Roman" w:cs="Times New Roman"/>
          <w:sz w:val="24"/>
          <w:szCs w:val="24"/>
        </w:rPr>
        <w:t>transit</w:t>
      </w:r>
      <w:r w:rsidRPr="00772319">
        <w:rPr>
          <w:rFonts w:ascii="Times New Roman" w:hAnsi="Times New Roman" w:cs="Times New Roman"/>
          <w:sz w:val="24"/>
          <w:szCs w:val="24"/>
        </w:rPr>
        <w:t xml:space="preserve"> (summarize separately for assets accessing HUR-EG):</w:t>
      </w:r>
    </w:p>
    <w:p w14:paraId="457AF53B"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Funds obligated; </w:t>
      </w:r>
    </w:p>
    <w:p w14:paraId="191EB1D3"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lastRenderedPageBreak/>
        <w:t xml:space="preserve">The number of projects and types of work; </w:t>
      </w:r>
    </w:p>
    <w:p w14:paraId="4998B9E1"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The condition of the assets as available; and</w:t>
      </w:r>
    </w:p>
    <w:p w14:paraId="031FB87F"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As applicable, progress towards performance targets described in the Investment Strategy.</w:t>
      </w:r>
    </w:p>
    <w:p w14:paraId="72F585BF" w14:textId="77777777" w:rsidR="00772319" w:rsidRPr="00772319" w:rsidRDefault="00772319" w:rsidP="00A929C8">
      <w:pPr>
        <w:pStyle w:val="ListParagraph"/>
        <w:numPr>
          <w:ilvl w:val="0"/>
          <w:numId w:val="7"/>
        </w:numPr>
        <w:spacing w:before="120" w:after="120" w:line="240" w:lineRule="auto"/>
        <w:ind w:left="36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Reduction of Bridge Deficiencies:  </w:t>
      </w:r>
    </w:p>
    <w:p w14:paraId="5018F7A2"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Bridges leading to HUR-EG: </w:t>
      </w:r>
    </w:p>
    <w:p w14:paraId="68E0ED5F"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Funds obligated; </w:t>
      </w:r>
    </w:p>
    <w:p w14:paraId="17FF4874"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The number and type of bridge projects; </w:t>
      </w:r>
    </w:p>
    <w:p w14:paraId="378B560B"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The condition of the bridges; and </w:t>
      </w:r>
    </w:p>
    <w:p w14:paraId="7770BDE8" w14:textId="5F558D9C"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Progress towards performance targets described in the Investment Strategy.  Summarize separately for NBI and non-NBI Bridges accessing HUR-EG.</w:t>
      </w:r>
    </w:p>
    <w:p w14:paraId="3B326C49"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Bridges overall included in the FLTFI </w:t>
      </w:r>
    </w:p>
    <w:p w14:paraId="187101DE"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Funds obligated; </w:t>
      </w:r>
    </w:p>
    <w:p w14:paraId="426150DA"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The number and type of bridge projects; </w:t>
      </w:r>
    </w:p>
    <w:p w14:paraId="2A67A5AC"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The condition of the bridges; and</w:t>
      </w:r>
    </w:p>
    <w:p w14:paraId="654B6F3B" w14:textId="77777777" w:rsidR="00772319" w:rsidRPr="00772319" w:rsidRDefault="00772319"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sidRPr="00772319">
        <w:rPr>
          <w:rFonts w:ascii="Times New Roman" w:hAnsi="Times New Roman" w:cs="Times New Roman"/>
          <w:sz w:val="24"/>
          <w:szCs w:val="24"/>
        </w:rPr>
        <w:t>As applicable, progress towards performance targets described in the Investment Strategy.  Summarize separately for NBI and non-NBI Bridges on the FLTFI.</w:t>
      </w:r>
    </w:p>
    <w:p w14:paraId="19F709AC" w14:textId="3BA127C5" w:rsidR="00772319" w:rsidRPr="00772319" w:rsidRDefault="00772319" w:rsidP="00A929C8">
      <w:pPr>
        <w:pStyle w:val="ListParagraph"/>
        <w:numPr>
          <w:ilvl w:val="0"/>
          <w:numId w:val="7"/>
        </w:numPr>
        <w:spacing w:before="120" w:after="120" w:line="240" w:lineRule="auto"/>
        <w:ind w:left="36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Improvement of Safety (summarize separately for improvements accessing HUR-EG):  </w:t>
      </w:r>
    </w:p>
    <w:p w14:paraId="353AB9CB"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If known, funds obligated for safety improvements;</w:t>
      </w:r>
    </w:p>
    <w:p w14:paraId="28F65DF7"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The number of safety-specific projects completed; </w:t>
      </w:r>
    </w:p>
    <w:p w14:paraId="0E7F8F92" w14:textId="685CC844" w:rsidR="00772319" w:rsidRPr="00772319" w:rsidRDefault="006F0404"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If applicable, n</w:t>
      </w:r>
      <w:r w:rsidR="00772319" w:rsidRPr="00772319">
        <w:rPr>
          <w:rFonts w:ascii="Times New Roman" w:hAnsi="Times New Roman" w:cs="Times New Roman"/>
          <w:sz w:val="24"/>
          <w:szCs w:val="24"/>
        </w:rPr>
        <w:t xml:space="preserve">ew processes or </w:t>
      </w:r>
      <w:r>
        <w:rPr>
          <w:rFonts w:ascii="Times New Roman" w:hAnsi="Times New Roman" w:cs="Times New Roman"/>
          <w:sz w:val="24"/>
          <w:szCs w:val="24"/>
        </w:rPr>
        <w:t xml:space="preserve">national </w:t>
      </w:r>
      <w:r w:rsidR="00772319" w:rsidRPr="00772319">
        <w:rPr>
          <w:rFonts w:ascii="Times New Roman" w:hAnsi="Times New Roman" w:cs="Times New Roman"/>
          <w:sz w:val="24"/>
          <w:szCs w:val="24"/>
        </w:rPr>
        <w:t xml:space="preserve">agreements </w:t>
      </w:r>
      <w:r>
        <w:rPr>
          <w:rFonts w:ascii="Times New Roman" w:hAnsi="Times New Roman" w:cs="Times New Roman"/>
          <w:sz w:val="24"/>
          <w:szCs w:val="24"/>
        </w:rPr>
        <w:t>pertaining to safety</w:t>
      </w:r>
      <w:r w:rsidR="00772319" w:rsidRPr="00772319">
        <w:rPr>
          <w:rFonts w:ascii="Times New Roman" w:hAnsi="Times New Roman" w:cs="Times New Roman"/>
          <w:sz w:val="24"/>
          <w:szCs w:val="24"/>
        </w:rPr>
        <w:t>;</w:t>
      </w:r>
    </w:p>
    <w:p w14:paraId="4EB3886A"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New relationships developed with other key stakeholder groups such as law enforcement and first responders; </w:t>
      </w:r>
    </w:p>
    <w:p w14:paraId="58852312"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number of roadside safety audits; and/or</w:t>
      </w:r>
    </w:p>
    <w:p w14:paraId="069F5E35"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safety meetings/summits held to educate and share best practices among practitioners.</w:t>
      </w:r>
    </w:p>
    <w:p w14:paraId="2AEDC39D" w14:textId="77777777" w:rsidR="00772319" w:rsidRPr="00772319" w:rsidRDefault="00772319" w:rsidP="00A929C8">
      <w:pPr>
        <w:pStyle w:val="ListParagraph"/>
        <w:numPr>
          <w:ilvl w:val="0"/>
          <w:numId w:val="7"/>
        </w:numPr>
        <w:spacing w:before="120" w:after="120" w:line="240" w:lineRule="auto"/>
        <w:ind w:left="360"/>
        <w:contextualSpacing w:val="0"/>
        <w:rPr>
          <w:rFonts w:ascii="Times New Roman" w:hAnsi="Times New Roman" w:cs="Times New Roman"/>
          <w:sz w:val="24"/>
          <w:szCs w:val="24"/>
        </w:rPr>
      </w:pPr>
      <w:r w:rsidRPr="00772319">
        <w:rPr>
          <w:rFonts w:ascii="Times New Roman" w:hAnsi="Times New Roman" w:cs="Times New Roman"/>
          <w:sz w:val="24"/>
          <w:szCs w:val="24"/>
        </w:rPr>
        <w:t>Congestion Management</w:t>
      </w:r>
    </w:p>
    <w:p w14:paraId="7E7625E3"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Funds obligated; </w:t>
      </w:r>
    </w:p>
    <w:p w14:paraId="15987D17"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The number and type of studies or projects funded; and</w:t>
      </w:r>
    </w:p>
    <w:p w14:paraId="16038624"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As applicable, progress towards performance targets described in the Investment Strategy.</w:t>
      </w:r>
    </w:p>
    <w:p w14:paraId="5EF410EF" w14:textId="2BF42D0C" w:rsidR="00215853" w:rsidRDefault="00215853" w:rsidP="00A929C8">
      <w:pPr>
        <w:pStyle w:val="ListParagraph"/>
        <w:numPr>
          <w:ilvl w:val="0"/>
          <w:numId w:val="7"/>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Advancing Administration’s Priorities</w:t>
      </w:r>
    </w:p>
    <w:p w14:paraId="13E9AC5C" w14:textId="77777777" w:rsidR="009F2A8B" w:rsidRDefault="00905000"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improve the condition and safety of existing transportation infrastructure</w:t>
      </w:r>
      <w:r w:rsidR="009F2A8B">
        <w:rPr>
          <w:rFonts w:ascii="Times New Roman" w:hAnsi="Times New Roman" w:cs="Times New Roman"/>
          <w:sz w:val="24"/>
          <w:szCs w:val="24"/>
        </w:rPr>
        <w:t>,</w:t>
      </w:r>
    </w:p>
    <w:p w14:paraId="72D19063" w14:textId="412E19BF" w:rsidR="00215853" w:rsidRPr="00215853" w:rsidRDefault="009F2A8B" w:rsidP="00A929C8">
      <w:pPr>
        <w:pStyle w:val="ListParagraph"/>
        <w:numPr>
          <w:ilvl w:val="2"/>
          <w:numId w:val="7"/>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support economic competitiveness</w:t>
      </w:r>
      <w:r w:rsidR="00215853" w:rsidRPr="00215853">
        <w:rPr>
          <w:rFonts w:ascii="Times New Roman" w:hAnsi="Times New Roman" w:cs="Times New Roman"/>
          <w:sz w:val="24"/>
          <w:szCs w:val="24"/>
        </w:rPr>
        <w:t xml:space="preserve">.  </w:t>
      </w:r>
    </w:p>
    <w:p w14:paraId="203DE20E" w14:textId="23285FE8" w:rsidR="00772319" w:rsidRPr="00772319" w:rsidRDefault="00772319" w:rsidP="00A929C8">
      <w:pPr>
        <w:pStyle w:val="ListParagraph"/>
        <w:numPr>
          <w:ilvl w:val="0"/>
          <w:numId w:val="7"/>
        </w:numPr>
        <w:spacing w:before="120" w:after="120" w:line="240" w:lineRule="auto"/>
        <w:ind w:left="360"/>
        <w:contextualSpacing w:val="0"/>
        <w:rPr>
          <w:rFonts w:ascii="Times New Roman" w:hAnsi="Times New Roman" w:cs="Times New Roman"/>
          <w:sz w:val="24"/>
          <w:szCs w:val="24"/>
        </w:rPr>
      </w:pPr>
      <w:r w:rsidRPr="00772319">
        <w:rPr>
          <w:rFonts w:ascii="Times New Roman" w:hAnsi="Times New Roman" w:cs="Times New Roman"/>
          <w:sz w:val="24"/>
          <w:szCs w:val="24"/>
        </w:rPr>
        <w:t>Resource and Asset Management Goals of the Secretary of the Respective Federal Land Management Agency:</w:t>
      </w:r>
      <w:r w:rsidRPr="00905000">
        <w:rPr>
          <w:rFonts w:ascii="Times New Roman" w:hAnsi="Times New Roman" w:cs="Times New Roman"/>
          <w:sz w:val="24"/>
          <w:szCs w:val="24"/>
        </w:rPr>
        <w:t xml:space="preserve">  </w:t>
      </w:r>
    </w:p>
    <w:p w14:paraId="0115F7CD"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lastRenderedPageBreak/>
        <w:t xml:space="preserve">Funds obligated; </w:t>
      </w:r>
    </w:p>
    <w:p w14:paraId="42D0163D"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The number and type of projects funded; and</w:t>
      </w:r>
    </w:p>
    <w:p w14:paraId="36FB5684" w14:textId="6F5E5F60"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As applicable, progress towards performance targets described in the Investment Strategy.</w:t>
      </w:r>
    </w:p>
    <w:p w14:paraId="6332C557" w14:textId="77777777" w:rsidR="00772319" w:rsidRPr="00772319" w:rsidRDefault="00772319" w:rsidP="00A929C8">
      <w:pPr>
        <w:pStyle w:val="ListParagraph"/>
        <w:numPr>
          <w:ilvl w:val="0"/>
          <w:numId w:val="7"/>
        </w:numPr>
        <w:spacing w:before="120" w:after="120" w:line="240" w:lineRule="auto"/>
        <w:ind w:left="36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Planning - </w:t>
      </w:r>
    </w:p>
    <w:p w14:paraId="2DC98E12"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Status of National LRTP;</w:t>
      </w:r>
    </w:p>
    <w:p w14:paraId="285C1EDC"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As applicable, status of unit level transportation planning activities;</w:t>
      </w:r>
    </w:p>
    <w:p w14:paraId="71189AFC"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 xml:space="preserve">Demonstrate how FLMAs are incorporating asset management and performance management into the planning process, i.e., what’s changed? </w:t>
      </w:r>
    </w:p>
    <w:p w14:paraId="57FEB72C" w14:textId="77777777" w:rsidR="00772319" w:rsidRPr="00772319" w:rsidRDefault="00772319" w:rsidP="00A929C8">
      <w:pPr>
        <w:pStyle w:val="ListParagraph"/>
        <w:numPr>
          <w:ilvl w:val="1"/>
          <w:numId w:val="7"/>
        </w:numPr>
        <w:spacing w:before="120" w:after="120" w:line="240" w:lineRule="auto"/>
        <w:ind w:left="720"/>
        <w:contextualSpacing w:val="0"/>
        <w:rPr>
          <w:rFonts w:ascii="Times New Roman" w:hAnsi="Times New Roman" w:cs="Times New Roman"/>
          <w:sz w:val="24"/>
          <w:szCs w:val="24"/>
        </w:rPr>
      </w:pPr>
      <w:r w:rsidRPr="00772319">
        <w:rPr>
          <w:rFonts w:ascii="Times New Roman" w:hAnsi="Times New Roman" w:cs="Times New Roman"/>
          <w:sz w:val="24"/>
          <w:szCs w:val="24"/>
        </w:rPr>
        <w:t>Describe the ongoing Integrated Planning activities and how they have contributed to your agency’s overall planning program and decision-making process.</w:t>
      </w:r>
    </w:p>
    <w:sectPr w:rsidR="00772319" w:rsidRPr="00772319" w:rsidSect="000040B4">
      <w:headerReference w:type="default" r:id="rId9"/>
      <w:footerReference w:type="default" r:id="rId10"/>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EC82" w14:textId="77777777" w:rsidR="00B949EE" w:rsidRDefault="00B949EE" w:rsidP="00190A99">
      <w:pPr>
        <w:spacing w:after="0" w:line="240" w:lineRule="auto"/>
      </w:pPr>
      <w:r>
        <w:separator/>
      </w:r>
    </w:p>
  </w:endnote>
  <w:endnote w:type="continuationSeparator" w:id="0">
    <w:p w14:paraId="674B3E01" w14:textId="77777777" w:rsidR="00B949EE" w:rsidRDefault="00B949EE" w:rsidP="00190A99">
      <w:pPr>
        <w:spacing w:after="0" w:line="240" w:lineRule="auto"/>
      </w:pPr>
      <w:r>
        <w:continuationSeparator/>
      </w:r>
    </w:p>
  </w:endnote>
  <w:endnote w:type="continuationNotice" w:id="1">
    <w:p w14:paraId="05F464FF" w14:textId="77777777" w:rsidR="00B949EE" w:rsidRDefault="00B94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347B" w14:textId="24DD4CC5" w:rsidR="00B949EE" w:rsidRDefault="00B949EE">
    <w:pPr>
      <w:pStyle w:val="Footer"/>
    </w:pPr>
  </w:p>
  <w:p w14:paraId="7EFE7D3E" w14:textId="77777777" w:rsidR="00B949EE" w:rsidRDefault="00B94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BBFD" w14:textId="77777777" w:rsidR="00B949EE" w:rsidRDefault="00B949EE" w:rsidP="00190A99">
      <w:pPr>
        <w:spacing w:after="0" w:line="240" w:lineRule="auto"/>
      </w:pPr>
      <w:r>
        <w:separator/>
      </w:r>
    </w:p>
  </w:footnote>
  <w:footnote w:type="continuationSeparator" w:id="0">
    <w:p w14:paraId="5F52E22E" w14:textId="77777777" w:rsidR="00B949EE" w:rsidRDefault="00B949EE" w:rsidP="00190A99">
      <w:pPr>
        <w:spacing w:after="0" w:line="240" w:lineRule="auto"/>
      </w:pPr>
      <w:r>
        <w:continuationSeparator/>
      </w:r>
    </w:p>
  </w:footnote>
  <w:footnote w:type="continuationNotice" w:id="1">
    <w:p w14:paraId="681EA580" w14:textId="77777777" w:rsidR="00B949EE" w:rsidRDefault="00B949EE">
      <w:pPr>
        <w:spacing w:after="0" w:line="240" w:lineRule="auto"/>
      </w:pPr>
    </w:p>
  </w:footnote>
  <w:footnote w:id="2">
    <w:p w14:paraId="3EA49337" w14:textId="77777777" w:rsidR="00B949EE" w:rsidRPr="00C86B53" w:rsidRDefault="00B949EE" w:rsidP="009D4ED8">
      <w:pPr>
        <w:pStyle w:val="FootnoteText"/>
        <w:rPr>
          <w:rFonts w:ascii="Times New Roman" w:hAnsi="Times New Roman" w:cs="Times New Roman"/>
        </w:rPr>
      </w:pPr>
      <w:r w:rsidRPr="00C86B53">
        <w:rPr>
          <w:rStyle w:val="FootnoteReference"/>
          <w:rFonts w:ascii="Times New Roman" w:hAnsi="Times New Roman" w:cs="Times New Roman"/>
        </w:rPr>
        <w:footnoteRef/>
      </w:r>
      <w:r w:rsidRPr="00C86B53">
        <w:rPr>
          <w:rFonts w:ascii="Times New Roman" w:hAnsi="Times New Roman" w:cs="Times New Roman"/>
        </w:rPr>
        <w:t xml:space="preserve"> Integrated planning: Engage in activities that will implement a continuing, cooperative, and comprehensive planning process between FLMAs, States, locals, MPOs, and Tribes.</w:t>
      </w:r>
    </w:p>
  </w:footnote>
  <w:footnote w:id="3">
    <w:p w14:paraId="2EB3E88D" w14:textId="3782FE61" w:rsidR="00B949EE" w:rsidRDefault="00B949EE">
      <w:pPr>
        <w:pStyle w:val="FootnoteText"/>
      </w:pPr>
      <w:r w:rsidRPr="00C86B53">
        <w:rPr>
          <w:rStyle w:val="FootnoteReference"/>
          <w:rFonts w:ascii="Times New Roman" w:hAnsi="Times New Roman" w:cs="Times New Roman"/>
        </w:rPr>
        <w:footnoteRef/>
      </w:r>
      <w:r w:rsidRPr="00C86B53">
        <w:rPr>
          <w:rFonts w:ascii="Times New Roman" w:hAnsi="Times New Roman" w:cs="Times New Roman"/>
        </w:rPr>
        <w:t xml:space="preserve"> The TIP is a list of the investment priority projects (capital improvement and non-capital improvement projects such as studies) which support the Secretary of Transportation’s and FLMA Secretaries’ performance goals. This list, developed jointly by the FLH and the FLMAs, is an annually updated 4-year, fiscally constrained, list of projects with descriptions and estimated costs for all title 23 funded programs. The FLMAs may choose to include more fiscal years than the minimum 4-year required. The TIP is a planning and programming document, not a financial or accounting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2251" w14:textId="77777777" w:rsidR="00B949EE" w:rsidRDefault="00B94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3552"/>
    <w:multiLevelType w:val="hybridMultilevel"/>
    <w:tmpl w:val="B62C552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171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F466A1"/>
    <w:multiLevelType w:val="hybridMultilevel"/>
    <w:tmpl w:val="7D861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171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723309"/>
    <w:multiLevelType w:val="hybridMultilevel"/>
    <w:tmpl w:val="60E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9660F"/>
    <w:multiLevelType w:val="hybridMultilevel"/>
    <w:tmpl w:val="D26E660A"/>
    <w:lvl w:ilvl="0" w:tplc="04090017">
      <w:start w:val="1"/>
      <w:numFmt w:val="lowerLetter"/>
      <w:lvlText w:val="%1)"/>
      <w:lvlJc w:val="left"/>
      <w:pPr>
        <w:ind w:left="360" w:hanging="360"/>
      </w:pPr>
    </w:lvl>
    <w:lvl w:ilvl="1" w:tplc="04090011">
      <w:start w:val="1"/>
      <w:numFmt w:val="decimal"/>
      <w:lvlText w:val="%2)"/>
      <w:lvlJc w:val="left"/>
      <w:pPr>
        <w:ind w:left="1080" w:hanging="360"/>
      </w:pPr>
    </w:lvl>
    <w:lvl w:ilvl="2" w:tplc="04090015">
      <w:start w:val="1"/>
      <w:numFmt w:val="upperLetter"/>
      <w:lvlText w:val="%3."/>
      <w:lvlJc w:val="left"/>
      <w:pPr>
        <w:ind w:left="1800" w:hanging="180"/>
      </w:pPr>
    </w:lvl>
    <w:lvl w:ilvl="3" w:tplc="04090015">
      <w:start w:val="1"/>
      <w:numFmt w:val="upperLetter"/>
      <w:lvlText w:val="%4."/>
      <w:lvlJc w:val="left"/>
      <w:pPr>
        <w:ind w:left="1710" w:hanging="360"/>
      </w:pPr>
    </w:lvl>
    <w:lvl w:ilvl="4" w:tplc="0409001B">
      <w:start w:val="1"/>
      <w:numFmt w:val="lowerRoman"/>
      <w:lvlText w:val="%5."/>
      <w:lvlJc w:val="right"/>
      <w:pPr>
        <w:ind w:left="3240" w:hanging="360"/>
      </w:pPr>
    </w:lvl>
    <w:lvl w:ilvl="5" w:tplc="914A36F2">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B44E14"/>
    <w:multiLevelType w:val="hybridMultilevel"/>
    <w:tmpl w:val="289E9E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356E2B"/>
    <w:multiLevelType w:val="hybridMultilevel"/>
    <w:tmpl w:val="88943AD8"/>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5C6F07"/>
    <w:multiLevelType w:val="hybridMultilevel"/>
    <w:tmpl w:val="746A8196"/>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33447BD5"/>
    <w:multiLevelType w:val="hybridMultilevel"/>
    <w:tmpl w:val="B5BC5B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AB626A"/>
    <w:multiLevelType w:val="hybridMultilevel"/>
    <w:tmpl w:val="9F46EF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34567"/>
    <w:multiLevelType w:val="hybridMultilevel"/>
    <w:tmpl w:val="9EAE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87A29"/>
    <w:multiLevelType w:val="hybridMultilevel"/>
    <w:tmpl w:val="D26E660A"/>
    <w:lvl w:ilvl="0" w:tplc="04090017">
      <w:start w:val="1"/>
      <w:numFmt w:val="lowerLetter"/>
      <w:lvlText w:val="%1)"/>
      <w:lvlJc w:val="left"/>
      <w:pPr>
        <w:ind w:left="360" w:hanging="360"/>
      </w:pPr>
    </w:lvl>
    <w:lvl w:ilvl="1" w:tplc="04090011">
      <w:start w:val="1"/>
      <w:numFmt w:val="decimal"/>
      <w:lvlText w:val="%2)"/>
      <w:lvlJc w:val="left"/>
      <w:pPr>
        <w:ind w:left="1080" w:hanging="360"/>
      </w:pPr>
    </w:lvl>
    <w:lvl w:ilvl="2" w:tplc="04090015">
      <w:start w:val="1"/>
      <w:numFmt w:val="upperLetter"/>
      <w:lvlText w:val="%3."/>
      <w:lvlJc w:val="left"/>
      <w:pPr>
        <w:ind w:left="1800" w:hanging="180"/>
      </w:pPr>
    </w:lvl>
    <w:lvl w:ilvl="3" w:tplc="04090015">
      <w:start w:val="1"/>
      <w:numFmt w:val="upperLetter"/>
      <w:lvlText w:val="%4."/>
      <w:lvlJc w:val="left"/>
      <w:pPr>
        <w:ind w:left="1710" w:hanging="360"/>
      </w:pPr>
    </w:lvl>
    <w:lvl w:ilvl="4" w:tplc="0409001B">
      <w:start w:val="1"/>
      <w:numFmt w:val="lowerRoman"/>
      <w:lvlText w:val="%5."/>
      <w:lvlJc w:val="right"/>
      <w:pPr>
        <w:ind w:left="3240" w:hanging="360"/>
      </w:pPr>
    </w:lvl>
    <w:lvl w:ilvl="5" w:tplc="914A36F2">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030C9"/>
    <w:multiLevelType w:val="hybridMultilevel"/>
    <w:tmpl w:val="B4384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DD9499C"/>
    <w:multiLevelType w:val="hybridMultilevel"/>
    <w:tmpl w:val="3928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13C75"/>
    <w:multiLevelType w:val="hybridMultilevel"/>
    <w:tmpl w:val="0E38E1E6"/>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494753"/>
    <w:multiLevelType w:val="hybridMultilevel"/>
    <w:tmpl w:val="F66292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13014D"/>
    <w:multiLevelType w:val="hybridMultilevel"/>
    <w:tmpl w:val="2D126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E2823"/>
    <w:multiLevelType w:val="hybridMultilevel"/>
    <w:tmpl w:val="E68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71D2D"/>
    <w:multiLevelType w:val="hybridMultilevel"/>
    <w:tmpl w:val="D26E660A"/>
    <w:lvl w:ilvl="0" w:tplc="04090017">
      <w:start w:val="1"/>
      <w:numFmt w:val="lowerLetter"/>
      <w:lvlText w:val="%1)"/>
      <w:lvlJc w:val="left"/>
      <w:pPr>
        <w:ind w:left="360" w:hanging="360"/>
      </w:pPr>
    </w:lvl>
    <w:lvl w:ilvl="1" w:tplc="04090011">
      <w:start w:val="1"/>
      <w:numFmt w:val="decimal"/>
      <w:lvlText w:val="%2)"/>
      <w:lvlJc w:val="left"/>
      <w:pPr>
        <w:ind w:left="1080" w:hanging="360"/>
      </w:pPr>
    </w:lvl>
    <w:lvl w:ilvl="2" w:tplc="04090015">
      <w:start w:val="1"/>
      <w:numFmt w:val="upperLetter"/>
      <w:lvlText w:val="%3."/>
      <w:lvlJc w:val="left"/>
      <w:pPr>
        <w:ind w:left="1800" w:hanging="180"/>
      </w:pPr>
    </w:lvl>
    <w:lvl w:ilvl="3" w:tplc="04090015">
      <w:start w:val="1"/>
      <w:numFmt w:val="upperLetter"/>
      <w:lvlText w:val="%4."/>
      <w:lvlJc w:val="left"/>
      <w:pPr>
        <w:ind w:left="1710" w:hanging="360"/>
      </w:pPr>
    </w:lvl>
    <w:lvl w:ilvl="4" w:tplc="0409001B">
      <w:start w:val="1"/>
      <w:numFmt w:val="lowerRoman"/>
      <w:lvlText w:val="%5."/>
      <w:lvlJc w:val="right"/>
      <w:pPr>
        <w:ind w:left="3240" w:hanging="360"/>
      </w:pPr>
    </w:lvl>
    <w:lvl w:ilvl="5" w:tplc="914A36F2">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E818F7"/>
    <w:multiLevelType w:val="hybridMultilevel"/>
    <w:tmpl w:val="CA0244C6"/>
    <w:lvl w:ilvl="0" w:tplc="04090015">
      <w:start w:val="1"/>
      <w:numFmt w:val="upp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7AF673D2"/>
    <w:multiLevelType w:val="hybridMultilevel"/>
    <w:tmpl w:val="9230B93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9226">
    <w:abstractNumId w:val="16"/>
  </w:num>
  <w:num w:numId="2" w16cid:durableId="1779569107">
    <w:abstractNumId w:val="12"/>
  </w:num>
  <w:num w:numId="3" w16cid:durableId="1403526266">
    <w:abstractNumId w:val="9"/>
  </w:num>
  <w:num w:numId="4" w16cid:durableId="974022922">
    <w:abstractNumId w:val="17"/>
  </w:num>
  <w:num w:numId="5" w16cid:durableId="877281474">
    <w:abstractNumId w:val="1"/>
  </w:num>
  <w:num w:numId="6" w16cid:durableId="1407876391">
    <w:abstractNumId w:val="11"/>
  </w:num>
  <w:num w:numId="7" w16cid:durableId="298652574">
    <w:abstractNumId w:val="19"/>
  </w:num>
  <w:num w:numId="8" w16cid:durableId="1498689468">
    <w:abstractNumId w:val="13"/>
  </w:num>
  <w:num w:numId="9" w16cid:durableId="1377699751">
    <w:abstractNumId w:val="15"/>
  </w:num>
  <w:num w:numId="10" w16cid:durableId="1565683431">
    <w:abstractNumId w:val="8"/>
  </w:num>
  <w:num w:numId="11" w16cid:durableId="1533691684">
    <w:abstractNumId w:val="3"/>
  </w:num>
  <w:num w:numId="12" w16cid:durableId="542136429">
    <w:abstractNumId w:val="4"/>
  </w:num>
  <w:num w:numId="13" w16cid:durableId="1575359811">
    <w:abstractNumId w:val="18"/>
  </w:num>
  <w:num w:numId="14" w16cid:durableId="2106531833">
    <w:abstractNumId w:val="6"/>
  </w:num>
  <w:num w:numId="15" w16cid:durableId="1436100922">
    <w:abstractNumId w:val="0"/>
  </w:num>
  <w:num w:numId="16" w16cid:durableId="855848095">
    <w:abstractNumId w:val="10"/>
  </w:num>
  <w:num w:numId="17" w16cid:durableId="94636353">
    <w:abstractNumId w:val="14"/>
  </w:num>
  <w:num w:numId="18" w16cid:durableId="289478658">
    <w:abstractNumId w:val="2"/>
  </w:num>
  <w:num w:numId="19" w16cid:durableId="1408070402">
    <w:abstractNumId w:val="7"/>
  </w:num>
  <w:num w:numId="20" w16cid:durableId="164169155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AB"/>
    <w:rsid w:val="00002641"/>
    <w:rsid w:val="00002986"/>
    <w:rsid w:val="00002BBA"/>
    <w:rsid w:val="000033A9"/>
    <w:rsid w:val="00003596"/>
    <w:rsid w:val="00003FF8"/>
    <w:rsid w:val="000040B4"/>
    <w:rsid w:val="0000550E"/>
    <w:rsid w:val="0000586D"/>
    <w:rsid w:val="00007504"/>
    <w:rsid w:val="00007CD3"/>
    <w:rsid w:val="00013291"/>
    <w:rsid w:val="00013467"/>
    <w:rsid w:val="00013AD2"/>
    <w:rsid w:val="00020F00"/>
    <w:rsid w:val="0002213E"/>
    <w:rsid w:val="000222EF"/>
    <w:rsid w:val="00022E2C"/>
    <w:rsid w:val="00022EB2"/>
    <w:rsid w:val="00023A14"/>
    <w:rsid w:val="00024141"/>
    <w:rsid w:val="000241F5"/>
    <w:rsid w:val="000246FA"/>
    <w:rsid w:val="0002545D"/>
    <w:rsid w:val="000263AC"/>
    <w:rsid w:val="00027248"/>
    <w:rsid w:val="000272B5"/>
    <w:rsid w:val="00027354"/>
    <w:rsid w:val="0002770D"/>
    <w:rsid w:val="00027988"/>
    <w:rsid w:val="00027DE9"/>
    <w:rsid w:val="000303B1"/>
    <w:rsid w:val="00030CD5"/>
    <w:rsid w:val="00031A49"/>
    <w:rsid w:val="00036540"/>
    <w:rsid w:val="000405EB"/>
    <w:rsid w:val="00040724"/>
    <w:rsid w:val="00040914"/>
    <w:rsid w:val="00040D38"/>
    <w:rsid w:val="00041004"/>
    <w:rsid w:val="00041118"/>
    <w:rsid w:val="000413EC"/>
    <w:rsid w:val="000435FD"/>
    <w:rsid w:val="000436AE"/>
    <w:rsid w:val="00043CA3"/>
    <w:rsid w:val="000450F7"/>
    <w:rsid w:val="00045CE2"/>
    <w:rsid w:val="00045FFB"/>
    <w:rsid w:val="00047528"/>
    <w:rsid w:val="000503F3"/>
    <w:rsid w:val="0005262F"/>
    <w:rsid w:val="00054820"/>
    <w:rsid w:val="00056A97"/>
    <w:rsid w:val="00061EF9"/>
    <w:rsid w:val="000716EC"/>
    <w:rsid w:val="000738EE"/>
    <w:rsid w:val="00073C9D"/>
    <w:rsid w:val="0007548C"/>
    <w:rsid w:val="00075964"/>
    <w:rsid w:val="0008052B"/>
    <w:rsid w:val="0008238C"/>
    <w:rsid w:val="00083B75"/>
    <w:rsid w:val="00084006"/>
    <w:rsid w:val="00084009"/>
    <w:rsid w:val="000849F8"/>
    <w:rsid w:val="00085062"/>
    <w:rsid w:val="0008582B"/>
    <w:rsid w:val="00087D95"/>
    <w:rsid w:val="000900C9"/>
    <w:rsid w:val="0009051A"/>
    <w:rsid w:val="00090BF8"/>
    <w:rsid w:val="00090EE2"/>
    <w:rsid w:val="00093191"/>
    <w:rsid w:val="00096595"/>
    <w:rsid w:val="00096AF5"/>
    <w:rsid w:val="000A01CA"/>
    <w:rsid w:val="000A0922"/>
    <w:rsid w:val="000A0F8E"/>
    <w:rsid w:val="000A2502"/>
    <w:rsid w:val="000A2A4A"/>
    <w:rsid w:val="000A3D47"/>
    <w:rsid w:val="000A5059"/>
    <w:rsid w:val="000A579E"/>
    <w:rsid w:val="000A68DD"/>
    <w:rsid w:val="000B14DE"/>
    <w:rsid w:val="000B327B"/>
    <w:rsid w:val="000B3FCE"/>
    <w:rsid w:val="000B4312"/>
    <w:rsid w:val="000B6137"/>
    <w:rsid w:val="000B6E6B"/>
    <w:rsid w:val="000B76A8"/>
    <w:rsid w:val="000C08B9"/>
    <w:rsid w:val="000C1405"/>
    <w:rsid w:val="000C2983"/>
    <w:rsid w:val="000C2A16"/>
    <w:rsid w:val="000C3133"/>
    <w:rsid w:val="000C336D"/>
    <w:rsid w:val="000C41BF"/>
    <w:rsid w:val="000C6E6D"/>
    <w:rsid w:val="000C75CD"/>
    <w:rsid w:val="000C78CB"/>
    <w:rsid w:val="000C7C47"/>
    <w:rsid w:val="000C7FF3"/>
    <w:rsid w:val="000D0821"/>
    <w:rsid w:val="000D17E3"/>
    <w:rsid w:val="000D301F"/>
    <w:rsid w:val="000D3297"/>
    <w:rsid w:val="000D556B"/>
    <w:rsid w:val="000D675B"/>
    <w:rsid w:val="000D7103"/>
    <w:rsid w:val="000D71EB"/>
    <w:rsid w:val="000D7905"/>
    <w:rsid w:val="000E0010"/>
    <w:rsid w:val="000E0971"/>
    <w:rsid w:val="000E29A0"/>
    <w:rsid w:val="000E3527"/>
    <w:rsid w:val="000E4175"/>
    <w:rsid w:val="000E46CD"/>
    <w:rsid w:val="000E75BF"/>
    <w:rsid w:val="000F0569"/>
    <w:rsid w:val="000F0B94"/>
    <w:rsid w:val="000F1FE6"/>
    <w:rsid w:val="000F2DA7"/>
    <w:rsid w:val="000F4D24"/>
    <w:rsid w:val="000F5066"/>
    <w:rsid w:val="001018C7"/>
    <w:rsid w:val="001024C1"/>
    <w:rsid w:val="001034F8"/>
    <w:rsid w:val="001038C0"/>
    <w:rsid w:val="00104742"/>
    <w:rsid w:val="00104B8C"/>
    <w:rsid w:val="00105AC8"/>
    <w:rsid w:val="00106207"/>
    <w:rsid w:val="00106F0D"/>
    <w:rsid w:val="00107434"/>
    <w:rsid w:val="001076FA"/>
    <w:rsid w:val="001078E0"/>
    <w:rsid w:val="0011046E"/>
    <w:rsid w:val="00111AB9"/>
    <w:rsid w:val="00111C82"/>
    <w:rsid w:val="00112147"/>
    <w:rsid w:val="001127FD"/>
    <w:rsid w:val="00113C99"/>
    <w:rsid w:val="00114AB4"/>
    <w:rsid w:val="00115DE4"/>
    <w:rsid w:val="00116604"/>
    <w:rsid w:val="00116A6E"/>
    <w:rsid w:val="00121353"/>
    <w:rsid w:val="00121C41"/>
    <w:rsid w:val="00121C9C"/>
    <w:rsid w:val="00122AE1"/>
    <w:rsid w:val="00122B5E"/>
    <w:rsid w:val="00123B8B"/>
    <w:rsid w:val="00124847"/>
    <w:rsid w:val="00124F31"/>
    <w:rsid w:val="00125669"/>
    <w:rsid w:val="001268D8"/>
    <w:rsid w:val="00126C2E"/>
    <w:rsid w:val="00127045"/>
    <w:rsid w:val="001315AF"/>
    <w:rsid w:val="00131DC2"/>
    <w:rsid w:val="00133FD7"/>
    <w:rsid w:val="00134EDA"/>
    <w:rsid w:val="001354AF"/>
    <w:rsid w:val="00135D26"/>
    <w:rsid w:val="00135F33"/>
    <w:rsid w:val="00136019"/>
    <w:rsid w:val="00136661"/>
    <w:rsid w:val="00136C33"/>
    <w:rsid w:val="001376C4"/>
    <w:rsid w:val="00140E6B"/>
    <w:rsid w:val="00142C4F"/>
    <w:rsid w:val="00143636"/>
    <w:rsid w:val="0014370C"/>
    <w:rsid w:val="00143F85"/>
    <w:rsid w:val="0014448D"/>
    <w:rsid w:val="00144615"/>
    <w:rsid w:val="00144DFE"/>
    <w:rsid w:val="00144F65"/>
    <w:rsid w:val="00144FE4"/>
    <w:rsid w:val="001511A7"/>
    <w:rsid w:val="00153155"/>
    <w:rsid w:val="00154183"/>
    <w:rsid w:val="001547D2"/>
    <w:rsid w:val="00155301"/>
    <w:rsid w:val="001554D0"/>
    <w:rsid w:val="0015591A"/>
    <w:rsid w:val="00161AA4"/>
    <w:rsid w:val="00162401"/>
    <w:rsid w:val="0016404A"/>
    <w:rsid w:val="00165C03"/>
    <w:rsid w:val="00165D58"/>
    <w:rsid w:val="00166BD3"/>
    <w:rsid w:val="00166DF8"/>
    <w:rsid w:val="00167DF9"/>
    <w:rsid w:val="001705B0"/>
    <w:rsid w:val="001725DC"/>
    <w:rsid w:val="00173C54"/>
    <w:rsid w:val="00174911"/>
    <w:rsid w:val="00175290"/>
    <w:rsid w:val="00177DCB"/>
    <w:rsid w:val="00182A1C"/>
    <w:rsid w:val="00183D23"/>
    <w:rsid w:val="001859FA"/>
    <w:rsid w:val="001861C4"/>
    <w:rsid w:val="0019096F"/>
    <w:rsid w:val="00190A99"/>
    <w:rsid w:val="001920E2"/>
    <w:rsid w:val="001937F6"/>
    <w:rsid w:val="00193B33"/>
    <w:rsid w:val="0019495B"/>
    <w:rsid w:val="00194DBC"/>
    <w:rsid w:val="00195566"/>
    <w:rsid w:val="001971D8"/>
    <w:rsid w:val="00197774"/>
    <w:rsid w:val="001A2CD4"/>
    <w:rsid w:val="001A2FA2"/>
    <w:rsid w:val="001A4545"/>
    <w:rsid w:val="001A47F2"/>
    <w:rsid w:val="001A655A"/>
    <w:rsid w:val="001A6FB0"/>
    <w:rsid w:val="001A7C8A"/>
    <w:rsid w:val="001B0E3E"/>
    <w:rsid w:val="001B1BE4"/>
    <w:rsid w:val="001B1C67"/>
    <w:rsid w:val="001B2F36"/>
    <w:rsid w:val="001B34D9"/>
    <w:rsid w:val="001B3776"/>
    <w:rsid w:val="001B3D49"/>
    <w:rsid w:val="001B5F6D"/>
    <w:rsid w:val="001B6EED"/>
    <w:rsid w:val="001C036F"/>
    <w:rsid w:val="001C0A64"/>
    <w:rsid w:val="001C3191"/>
    <w:rsid w:val="001C32A2"/>
    <w:rsid w:val="001C364B"/>
    <w:rsid w:val="001C3B98"/>
    <w:rsid w:val="001C4B41"/>
    <w:rsid w:val="001C4D3C"/>
    <w:rsid w:val="001C57D5"/>
    <w:rsid w:val="001C5B6A"/>
    <w:rsid w:val="001C5B9F"/>
    <w:rsid w:val="001D1D42"/>
    <w:rsid w:val="001D5699"/>
    <w:rsid w:val="001D5A46"/>
    <w:rsid w:val="001D5D62"/>
    <w:rsid w:val="001D5F31"/>
    <w:rsid w:val="001D74C8"/>
    <w:rsid w:val="001E01B1"/>
    <w:rsid w:val="001E146B"/>
    <w:rsid w:val="001E2846"/>
    <w:rsid w:val="001E31D5"/>
    <w:rsid w:val="001E5927"/>
    <w:rsid w:val="001E7732"/>
    <w:rsid w:val="001F05DA"/>
    <w:rsid w:val="001F20C8"/>
    <w:rsid w:val="001F2E55"/>
    <w:rsid w:val="001F5BD9"/>
    <w:rsid w:val="001F6436"/>
    <w:rsid w:val="001F789A"/>
    <w:rsid w:val="001F7A1E"/>
    <w:rsid w:val="0020328F"/>
    <w:rsid w:val="0020499F"/>
    <w:rsid w:val="0020641D"/>
    <w:rsid w:val="00206B4F"/>
    <w:rsid w:val="00211F56"/>
    <w:rsid w:val="0021325B"/>
    <w:rsid w:val="002138F4"/>
    <w:rsid w:val="00214863"/>
    <w:rsid w:val="00215156"/>
    <w:rsid w:val="00215853"/>
    <w:rsid w:val="00215F13"/>
    <w:rsid w:val="00216606"/>
    <w:rsid w:val="0022029A"/>
    <w:rsid w:val="002215B1"/>
    <w:rsid w:val="00221974"/>
    <w:rsid w:val="00222360"/>
    <w:rsid w:val="00222D58"/>
    <w:rsid w:val="002234A3"/>
    <w:rsid w:val="00224019"/>
    <w:rsid w:val="00224494"/>
    <w:rsid w:val="002249B8"/>
    <w:rsid w:val="002269B2"/>
    <w:rsid w:val="00226BD6"/>
    <w:rsid w:val="00226E82"/>
    <w:rsid w:val="00227945"/>
    <w:rsid w:val="00230C51"/>
    <w:rsid w:val="00231BD8"/>
    <w:rsid w:val="00233025"/>
    <w:rsid w:val="00233179"/>
    <w:rsid w:val="00233B4F"/>
    <w:rsid w:val="00234E99"/>
    <w:rsid w:val="0023579A"/>
    <w:rsid w:val="00235CDD"/>
    <w:rsid w:val="00237236"/>
    <w:rsid w:val="0024024E"/>
    <w:rsid w:val="00241F05"/>
    <w:rsid w:val="00242C92"/>
    <w:rsid w:val="002432DC"/>
    <w:rsid w:val="00243910"/>
    <w:rsid w:val="00243C2C"/>
    <w:rsid w:val="0024467B"/>
    <w:rsid w:val="0024476F"/>
    <w:rsid w:val="00244DC5"/>
    <w:rsid w:val="00245445"/>
    <w:rsid w:val="00245C8F"/>
    <w:rsid w:val="002463C2"/>
    <w:rsid w:val="0024682E"/>
    <w:rsid w:val="002504DE"/>
    <w:rsid w:val="0025259D"/>
    <w:rsid w:val="002550DE"/>
    <w:rsid w:val="00256A3A"/>
    <w:rsid w:val="00256E5E"/>
    <w:rsid w:val="00260322"/>
    <w:rsid w:val="00260377"/>
    <w:rsid w:val="002605B1"/>
    <w:rsid w:val="0026202B"/>
    <w:rsid w:val="002620B0"/>
    <w:rsid w:val="00262A56"/>
    <w:rsid w:val="002663C2"/>
    <w:rsid w:val="00266964"/>
    <w:rsid w:val="00267763"/>
    <w:rsid w:val="002703E6"/>
    <w:rsid w:val="00272016"/>
    <w:rsid w:val="00273B75"/>
    <w:rsid w:val="00274472"/>
    <w:rsid w:val="00274A54"/>
    <w:rsid w:val="0027602C"/>
    <w:rsid w:val="002767A1"/>
    <w:rsid w:val="00277485"/>
    <w:rsid w:val="002774E1"/>
    <w:rsid w:val="0027757A"/>
    <w:rsid w:val="002778AF"/>
    <w:rsid w:val="002805EC"/>
    <w:rsid w:val="00280CAE"/>
    <w:rsid w:val="00280DA3"/>
    <w:rsid w:val="002811AB"/>
    <w:rsid w:val="002819A5"/>
    <w:rsid w:val="00281C38"/>
    <w:rsid w:val="00281E46"/>
    <w:rsid w:val="00283A73"/>
    <w:rsid w:val="00285C85"/>
    <w:rsid w:val="00285F5C"/>
    <w:rsid w:val="00286160"/>
    <w:rsid w:val="002874AF"/>
    <w:rsid w:val="002879D5"/>
    <w:rsid w:val="0029054F"/>
    <w:rsid w:val="002927CB"/>
    <w:rsid w:val="002929DE"/>
    <w:rsid w:val="0029490E"/>
    <w:rsid w:val="0029556F"/>
    <w:rsid w:val="002964BC"/>
    <w:rsid w:val="002965AF"/>
    <w:rsid w:val="00296C59"/>
    <w:rsid w:val="00297A62"/>
    <w:rsid w:val="002A0146"/>
    <w:rsid w:val="002A039F"/>
    <w:rsid w:val="002A07A6"/>
    <w:rsid w:val="002A28BE"/>
    <w:rsid w:val="002A2A9B"/>
    <w:rsid w:val="002A381F"/>
    <w:rsid w:val="002A4805"/>
    <w:rsid w:val="002A5007"/>
    <w:rsid w:val="002A525E"/>
    <w:rsid w:val="002A5EE3"/>
    <w:rsid w:val="002A6C13"/>
    <w:rsid w:val="002A7E6C"/>
    <w:rsid w:val="002B0778"/>
    <w:rsid w:val="002B0C1C"/>
    <w:rsid w:val="002B0CC8"/>
    <w:rsid w:val="002B0EDC"/>
    <w:rsid w:val="002B21B5"/>
    <w:rsid w:val="002B3698"/>
    <w:rsid w:val="002B3C28"/>
    <w:rsid w:val="002B4639"/>
    <w:rsid w:val="002B531E"/>
    <w:rsid w:val="002B5A7C"/>
    <w:rsid w:val="002B64B5"/>
    <w:rsid w:val="002B7657"/>
    <w:rsid w:val="002B7E5C"/>
    <w:rsid w:val="002C03F5"/>
    <w:rsid w:val="002C3F1F"/>
    <w:rsid w:val="002C4260"/>
    <w:rsid w:val="002C4A9D"/>
    <w:rsid w:val="002C58BF"/>
    <w:rsid w:val="002C5BAA"/>
    <w:rsid w:val="002C5D3A"/>
    <w:rsid w:val="002C6527"/>
    <w:rsid w:val="002C7B18"/>
    <w:rsid w:val="002D01E6"/>
    <w:rsid w:val="002D1341"/>
    <w:rsid w:val="002D2DCD"/>
    <w:rsid w:val="002D5A7F"/>
    <w:rsid w:val="002D5AB6"/>
    <w:rsid w:val="002D5E0E"/>
    <w:rsid w:val="002D5E70"/>
    <w:rsid w:val="002E14AF"/>
    <w:rsid w:val="002E1A74"/>
    <w:rsid w:val="002E4E6A"/>
    <w:rsid w:val="002E58A6"/>
    <w:rsid w:val="002F00B0"/>
    <w:rsid w:val="002F1709"/>
    <w:rsid w:val="002F19BE"/>
    <w:rsid w:val="002F1A41"/>
    <w:rsid w:val="002F1B3B"/>
    <w:rsid w:val="002F29B8"/>
    <w:rsid w:val="002F2C5C"/>
    <w:rsid w:val="002F3AE7"/>
    <w:rsid w:val="002F3E45"/>
    <w:rsid w:val="002F4416"/>
    <w:rsid w:val="002F73C4"/>
    <w:rsid w:val="002F76CE"/>
    <w:rsid w:val="00300581"/>
    <w:rsid w:val="003005B7"/>
    <w:rsid w:val="00301FED"/>
    <w:rsid w:val="00303C80"/>
    <w:rsid w:val="00303DCB"/>
    <w:rsid w:val="0030433F"/>
    <w:rsid w:val="003059B3"/>
    <w:rsid w:val="00305EA6"/>
    <w:rsid w:val="003071BC"/>
    <w:rsid w:val="00310A5B"/>
    <w:rsid w:val="003118E0"/>
    <w:rsid w:val="00311D4D"/>
    <w:rsid w:val="00311FD1"/>
    <w:rsid w:val="00313725"/>
    <w:rsid w:val="00314DC2"/>
    <w:rsid w:val="003151F4"/>
    <w:rsid w:val="003167F8"/>
    <w:rsid w:val="00316E58"/>
    <w:rsid w:val="00317B18"/>
    <w:rsid w:val="00322B51"/>
    <w:rsid w:val="00322BA8"/>
    <w:rsid w:val="003232A5"/>
    <w:rsid w:val="003244C3"/>
    <w:rsid w:val="00325509"/>
    <w:rsid w:val="00325696"/>
    <w:rsid w:val="00330FD4"/>
    <w:rsid w:val="00331BA0"/>
    <w:rsid w:val="00331CDB"/>
    <w:rsid w:val="003359E7"/>
    <w:rsid w:val="003374B7"/>
    <w:rsid w:val="00337502"/>
    <w:rsid w:val="00337B38"/>
    <w:rsid w:val="00337CFD"/>
    <w:rsid w:val="00340354"/>
    <w:rsid w:val="0034120D"/>
    <w:rsid w:val="00341FDA"/>
    <w:rsid w:val="00342284"/>
    <w:rsid w:val="00344A8E"/>
    <w:rsid w:val="00346C82"/>
    <w:rsid w:val="0034720F"/>
    <w:rsid w:val="00350427"/>
    <w:rsid w:val="0035157F"/>
    <w:rsid w:val="0035460E"/>
    <w:rsid w:val="00354E29"/>
    <w:rsid w:val="00354ED2"/>
    <w:rsid w:val="003573D6"/>
    <w:rsid w:val="00357524"/>
    <w:rsid w:val="00361489"/>
    <w:rsid w:val="0036164A"/>
    <w:rsid w:val="00361E76"/>
    <w:rsid w:val="00362E4A"/>
    <w:rsid w:val="00362E8D"/>
    <w:rsid w:val="00363012"/>
    <w:rsid w:val="0036332E"/>
    <w:rsid w:val="00364B48"/>
    <w:rsid w:val="0036596E"/>
    <w:rsid w:val="00366042"/>
    <w:rsid w:val="00366DB5"/>
    <w:rsid w:val="00367030"/>
    <w:rsid w:val="00371AD3"/>
    <w:rsid w:val="00371F27"/>
    <w:rsid w:val="00372719"/>
    <w:rsid w:val="00372928"/>
    <w:rsid w:val="003747B1"/>
    <w:rsid w:val="00374B46"/>
    <w:rsid w:val="00374E81"/>
    <w:rsid w:val="00376CEB"/>
    <w:rsid w:val="003777E6"/>
    <w:rsid w:val="00380D34"/>
    <w:rsid w:val="0038117D"/>
    <w:rsid w:val="00382F2A"/>
    <w:rsid w:val="003837AA"/>
    <w:rsid w:val="00383930"/>
    <w:rsid w:val="003843FB"/>
    <w:rsid w:val="00385865"/>
    <w:rsid w:val="0038610F"/>
    <w:rsid w:val="00386557"/>
    <w:rsid w:val="00386B3A"/>
    <w:rsid w:val="00386CE9"/>
    <w:rsid w:val="00386DCC"/>
    <w:rsid w:val="00386F61"/>
    <w:rsid w:val="00387DCD"/>
    <w:rsid w:val="003910C3"/>
    <w:rsid w:val="00392792"/>
    <w:rsid w:val="00393933"/>
    <w:rsid w:val="00394582"/>
    <w:rsid w:val="0039697D"/>
    <w:rsid w:val="003970F9"/>
    <w:rsid w:val="003A3ADE"/>
    <w:rsid w:val="003A5269"/>
    <w:rsid w:val="003A74F3"/>
    <w:rsid w:val="003B00AF"/>
    <w:rsid w:val="003B1564"/>
    <w:rsid w:val="003B22B5"/>
    <w:rsid w:val="003B22BA"/>
    <w:rsid w:val="003B2CD2"/>
    <w:rsid w:val="003B3255"/>
    <w:rsid w:val="003B3C81"/>
    <w:rsid w:val="003B5752"/>
    <w:rsid w:val="003B662C"/>
    <w:rsid w:val="003B6BE9"/>
    <w:rsid w:val="003C0584"/>
    <w:rsid w:val="003C11C8"/>
    <w:rsid w:val="003C15C7"/>
    <w:rsid w:val="003C1C37"/>
    <w:rsid w:val="003C1F6F"/>
    <w:rsid w:val="003C2DE6"/>
    <w:rsid w:val="003C3018"/>
    <w:rsid w:val="003C3BB0"/>
    <w:rsid w:val="003C44DF"/>
    <w:rsid w:val="003C4DD8"/>
    <w:rsid w:val="003C5594"/>
    <w:rsid w:val="003C5E72"/>
    <w:rsid w:val="003D0064"/>
    <w:rsid w:val="003D0706"/>
    <w:rsid w:val="003D0B6B"/>
    <w:rsid w:val="003D0F1B"/>
    <w:rsid w:val="003D0FCA"/>
    <w:rsid w:val="003D2B27"/>
    <w:rsid w:val="003D41BD"/>
    <w:rsid w:val="003D453B"/>
    <w:rsid w:val="003D6407"/>
    <w:rsid w:val="003D7413"/>
    <w:rsid w:val="003D7F1E"/>
    <w:rsid w:val="003E1D75"/>
    <w:rsid w:val="003E22D9"/>
    <w:rsid w:val="003E7037"/>
    <w:rsid w:val="003E7E30"/>
    <w:rsid w:val="003F0312"/>
    <w:rsid w:val="003F083F"/>
    <w:rsid w:val="003F12B9"/>
    <w:rsid w:val="003F3242"/>
    <w:rsid w:val="003F36DE"/>
    <w:rsid w:val="003F3E6D"/>
    <w:rsid w:val="003F4438"/>
    <w:rsid w:val="003F4964"/>
    <w:rsid w:val="003F553B"/>
    <w:rsid w:val="003F58A9"/>
    <w:rsid w:val="003F65EA"/>
    <w:rsid w:val="003F774C"/>
    <w:rsid w:val="003F7FF3"/>
    <w:rsid w:val="0040294E"/>
    <w:rsid w:val="004031B2"/>
    <w:rsid w:val="00404B48"/>
    <w:rsid w:val="00405AE3"/>
    <w:rsid w:val="00406D91"/>
    <w:rsid w:val="00407363"/>
    <w:rsid w:val="00410E18"/>
    <w:rsid w:val="00411DB4"/>
    <w:rsid w:val="00415037"/>
    <w:rsid w:val="00415CBE"/>
    <w:rsid w:val="0041614C"/>
    <w:rsid w:val="004177BC"/>
    <w:rsid w:val="00417CDA"/>
    <w:rsid w:val="00420EFA"/>
    <w:rsid w:val="004212D3"/>
    <w:rsid w:val="00423B50"/>
    <w:rsid w:val="00423C3E"/>
    <w:rsid w:val="00424998"/>
    <w:rsid w:val="00425BB5"/>
    <w:rsid w:val="0042624A"/>
    <w:rsid w:val="004278F9"/>
    <w:rsid w:val="00427AFB"/>
    <w:rsid w:val="004300DC"/>
    <w:rsid w:val="0043165F"/>
    <w:rsid w:val="0043184E"/>
    <w:rsid w:val="00432263"/>
    <w:rsid w:val="0043323F"/>
    <w:rsid w:val="004338AB"/>
    <w:rsid w:val="00434B67"/>
    <w:rsid w:val="00435FE6"/>
    <w:rsid w:val="00436C5E"/>
    <w:rsid w:val="00437516"/>
    <w:rsid w:val="00437907"/>
    <w:rsid w:val="00441AFB"/>
    <w:rsid w:val="004422CD"/>
    <w:rsid w:val="0044277F"/>
    <w:rsid w:val="00443B61"/>
    <w:rsid w:val="00444BAD"/>
    <w:rsid w:val="00445016"/>
    <w:rsid w:val="004451CF"/>
    <w:rsid w:val="00445EAD"/>
    <w:rsid w:val="0044635D"/>
    <w:rsid w:val="0044714F"/>
    <w:rsid w:val="0044730E"/>
    <w:rsid w:val="0044763D"/>
    <w:rsid w:val="00447EB0"/>
    <w:rsid w:val="00451A4C"/>
    <w:rsid w:val="004524AF"/>
    <w:rsid w:val="00454669"/>
    <w:rsid w:val="004578FE"/>
    <w:rsid w:val="0046114F"/>
    <w:rsid w:val="00463B2D"/>
    <w:rsid w:val="004647A5"/>
    <w:rsid w:val="00465506"/>
    <w:rsid w:val="00466098"/>
    <w:rsid w:val="00466670"/>
    <w:rsid w:val="00471572"/>
    <w:rsid w:val="00471ADF"/>
    <w:rsid w:val="00471BBA"/>
    <w:rsid w:val="00472673"/>
    <w:rsid w:val="004733EB"/>
    <w:rsid w:val="00473692"/>
    <w:rsid w:val="00473B0F"/>
    <w:rsid w:val="00475AB3"/>
    <w:rsid w:val="00477F44"/>
    <w:rsid w:val="00481DB0"/>
    <w:rsid w:val="0048203E"/>
    <w:rsid w:val="00483665"/>
    <w:rsid w:val="00483DEC"/>
    <w:rsid w:val="004865F1"/>
    <w:rsid w:val="004872DD"/>
    <w:rsid w:val="004875BE"/>
    <w:rsid w:val="00490DB9"/>
    <w:rsid w:val="00491A9E"/>
    <w:rsid w:val="00492788"/>
    <w:rsid w:val="004929B4"/>
    <w:rsid w:val="00493171"/>
    <w:rsid w:val="00493174"/>
    <w:rsid w:val="0049422B"/>
    <w:rsid w:val="004960C4"/>
    <w:rsid w:val="004A053E"/>
    <w:rsid w:val="004A0C65"/>
    <w:rsid w:val="004A2F2C"/>
    <w:rsid w:val="004A4058"/>
    <w:rsid w:val="004A4658"/>
    <w:rsid w:val="004A6218"/>
    <w:rsid w:val="004A74B4"/>
    <w:rsid w:val="004A7764"/>
    <w:rsid w:val="004B017C"/>
    <w:rsid w:val="004B0E9D"/>
    <w:rsid w:val="004B2163"/>
    <w:rsid w:val="004B2B01"/>
    <w:rsid w:val="004B483B"/>
    <w:rsid w:val="004B674C"/>
    <w:rsid w:val="004B7FB6"/>
    <w:rsid w:val="004C00A2"/>
    <w:rsid w:val="004C1130"/>
    <w:rsid w:val="004C21AB"/>
    <w:rsid w:val="004C21E9"/>
    <w:rsid w:val="004C23AA"/>
    <w:rsid w:val="004C2F69"/>
    <w:rsid w:val="004C321A"/>
    <w:rsid w:val="004C3389"/>
    <w:rsid w:val="004C3483"/>
    <w:rsid w:val="004C4CBF"/>
    <w:rsid w:val="004C784F"/>
    <w:rsid w:val="004D16B3"/>
    <w:rsid w:val="004D2F0D"/>
    <w:rsid w:val="004D456A"/>
    <w:rsid w:val="004D4D9E"/>
    <w:rsid w:val="004D64D0"/>
    <w:rsid w:val="004D6B23"/>
    <w:rsid w:val="004D7A2F"/>
    <w:rsid w:val="004E0AA2"/>
    <w:rsid w:val="004E0F7A"/>
    <w:rsid w:val="004E21AD"/>
    <w:rsid w:val="004E41E4"/>
    <w:rsid w:val="004E5348"/>
    <w:rsid w:val="004E5E06"/>
    <w:rsid w:val="004F12CB"/>
    <w:rsid w:val="004F1525"/>
    <w:rsid w:val="004F18D8"/>
    <w:rsid w:val="004F2178"/>
    <w:rsid w:val="004F25D5"/>
    <w:rsid w:val="004F302A"/>
    <w:rsid w:val="004F4CD8"/>
    <w:rsid w:val="004F515D"/>
    <w:rsid w:val="004F55FA"/>
    <w:rsid w:val="004F75E6"/>
    <w:rsid w:val="0050005C"/>
    <w:rsid w:val="005020A1"/>
    <w:rsid w:val="00502FBA"/>
    <w:rsid w:val="0050323F"/>
    <w:rsid w:val="00503E04"/>
    <w:rsid w:val="00503E1E"/>
    <w:rsid w:val="00504802"/>
    <w:rsid w:val="00505CF0"/>
    <w:rsid w:val="00506C63"/>
    <w:rsid w:val="005072E8"/>
    <w:rsid w:val="005075D7"/>
    <w:rsid w:val="005078E2"/>
    <w:rsid w:val="005126A7"/>
    <w:rsid w:val="00512F1F"/>
    <w:rsid w:val="0051544B"/>
    <w:rsid w:val="00515638"/>
    <w:rsid w:val="005175AE"/>
    <w:rsid w:val="00517C26"/>
    <w:rsid w:val="00521735"/>
    <w:rsid w:val="0052222B"/>
    <w:rsid w:val="00522B2E"/>
    <w:rsid w:val="00523E47"/>
    <w:rsid w:val="00526555"/>
    <w:rsid w:val="0052661B"/>
    <w:rsid w:val="005272B5"/>
    <w:rsid w:val="00527401"/>
    <w:rsid w:val="005304F4"/>
    <w:rsid w:val="005327F5"/>
    <w:rsid w:val="00533400"/>
    <w:rsid w:val="00533B7D"/>
    <w:rsid w:val="0053646D"/>
    <w:rsid w:val="00536EF5"/>
    <w:rsid w:val="005424F6"/>
    <w:rsid w:val="005433C3"/>
    <w:rsid w:val="00543B71"/>
    <w:rsid w:val="00545D43"/>
    <w:rsid w:val="00547CDE"/>
    <w:rsid w:val="005516C1"/>
    <w:rsid w:val="00551D44"/>
    <w:rsid w:val="005520AA"/>
    <w:rsid w:val="005527BD"/>
    <w:rsid w:val="0055292A"/>
    <w:rsid w:val="00553134"/>
    <w:rsid w:val="005555A2"/>
    <w:rsid w:val="00555ADF"/>
    <w:rsid w:val="00555BAA"/>
    <w:rsid w:val="00557E70"/>
    <w:rsid w:val="00561212"/>
    <w:rsid w:val="00561563"/>
    <w:rsid w:val="005626E5"/>
    <w:rsid w:val="00563930"/>
    <w:rsid w:val="0056461B"/>
    <w:rsid w:val="0056587B"/>
    <w:rsid w:val="005658EC"/>
    <w:rsid w:val="00566A15"/>
    <w:rsid w:val="00566CE4"/>
    <w:rsid w:val="00566FEE"/>
    <w:rsid w:val="00567348"/>
    <w:rsid w:val="00570EB2"/>
    <w:rsid w:val="00571A62"/>
    <w:rsid w:val="00573B3E"/>
    <w:rsid w:val="00574A4E"/>
    <w:rsid w:val="00575DCA"/>
    <w:rsid w:val="00577529"/>
    <w:rsid w:val="00577783"/>
    <w:rsid w:val="00580772"/>
    <w:rsid w:val="00580D34"/>
    <w:rsid w:val="00583725"/>
    <w:rsid w:val="00584836"/>
    <w:rsid w:val="00584916"/>
    <w:rsid w:val="00585C6B"/>
    <w:rsid w:val="00585FD9"/>
    <w:rsid w:val="00587357"/>
    <w:rsid w:val="005873A3"/>
    <w:rsid w:val="0058756C"/>
    <w:rsid w:val="00587751"/>
    <w:rsid w:val="00590D78"/>
    <w:rsid w:val="00592534"/>
    <w:rsid w:val="00592E03"/>
    <w:rsid w:val="005933D9"/>
    <w:rsid w:val="0059399A"/>
    <w:rsid w:val="00595144"/>
    <w:rsid w:val="0059577A"/>
    <w:rsid w:val="00597536"/>
    <w:rsid w:val="00597B76"/>
    <w:rsid w:val="005A040E"/>
    <w:rsid w:val="005A0677"/>
    <w:rsid w:val="005A0A81"/>
    <w:rsid w:val="005A0C02"/>
    <w:rsid w:val="005A1308"/>
    <w:rsid w:val="005A31FF"/>
    <w:rsid w:val="005A3320"/>
    <w:rsid w:val="005A3B21"/>
    <w:rsid w:val="005A58EB"/>
    <w:rsid w:val="005A68A9"/>
    <w:rsid w:val="005A7BD4"/>
    <w:rsid w:val="005B4420"/>
    <w:rsid w:val="005B530F"/>
    <w:rsid w:val="005C287E"/>
    <w:rsid w:val="005C2CF2"/>
    <w:rsid w:val="005C2E24"/>
    <w:rsid w:val="005C42CF"/>
    <w:rsid w:val="005C5B6A"/>
    <w:rsid w:val="005D134F"/>
    <w:rsid w:val="005D1B3D"/>
    <w:rsid w:val="005D1BB1"/>
    <w:rsid w:val="005D3769"/>
    <w:rsid w:val="005D3BEB"/>
    <w:rsid w:val="005D3FDA"/>
    <w:rsid w:val="005D47F8"/>
    <w:rsid w:val="005D5B83"/>
    <w:rsid w:val="005D799B"/>
    <w:rsid w:val="005E00E2"/>
    <w:rsid w:val="005E14B5"/>
    <w:rsid w:val="005E1B69"/>
    <w:rsid w:val="005E253E"/>
    <w:rsid w:val="005E3B9C"/>
    <w:rsid w:val="005E5329"/>
    <w:rsid w:val="005E60F9"/>
    <w:rsid w:val="005E7258"/>
    <w:rsid w:val="005F1550"/>
    <w:rsid w:val="005F221B"/>
    <w:rsid w:val="005F233F"/>
    <w:rsid w:val="005F4818"/>
    <w:rsid w:val="005F50CC"/>
    <w:rsid w:val="005F5CD8"/>
    <w:rsid w:val="005F61A5"/>
    <w:rsid w:val="005F68DC"/>
    <w:rsid w:val="005F73F5"/>
    <w:rsid w:val="005F786F"/>
    <w:rsid w:val="005F7E4C"/>
    <w:rsid w:val="00600CE6"/>
    <w:rsid w:val="0060108B"/>
    <w:rsid w:val="00601372"/>
    <w:rsid w:val="00602032"/>
    <w:rsid w:val="006020E7"/>
    <w:rsid w:val="00602433"/>
    <w:rsid w:val="00610080"/>
    <w:rsid w:val="00610A08"/>
    <w:rsid w:val="00611480"/>
    <w:rsid w:val="006119DC"/>
    <w:rsid w:val="00613EBE"/>
    <w:rsid w:val="00617AF4"/>
    <w:rsid w:val="006223FA"/>
    <w:rsid w:val="0062246E"/>
    <w:rsid w:val="00622C5D"/>
    <w:rsid w:val="0062355B"/>
    <w:rsid w:val="00623D68"/>
    <w:rsid w:val="0062437C"/>
    <w:rsid w:val="006255BF"/>
    <w:rsid w:val="00627BC1"/>
    <w:rsid w:val="00630329"/>
    <w:rsid w:val="00631876"/>
    <w:rsid w:val="00631916"/>
    <w:rsid w:val="00632013"/>
    <w:rsid w:val="006329EC"/>
    <w:rsid w:val="00632F4A"/>
    <w:rsid w:val="00633B21"/>
    <w:rsid w:val="00637156"/>
    <w:rsid w:val="00640A93"/>
    <w:rsid w:val="00642853"/>
    <w:rsid w:val="00642F33"/>
    <w:rsid w:val="0064329B"/>
    <w:rsid w:val="00643712"/>
    <w:rsid w:val="00644FD5"/>
    <w:rsid w:val="00645EFB"/>
    <w:rsid w:val="0064661A"/>
    <w:rsid w:val="0064720D"/>
    <w:rsid w:val="00647999"/>
    <w:rsid w:val="00651246"/>
    <w:rsid w:val="00654CB9"/>
    <w:rsid w:val="00654CD7"/>
    <w:rsid w:val="006554DE"/>
    <w:rsid w:val="00657088"/>
    <w:rsid w:val="00660103"/>
    <w:rsid w:val="00660188"/>
    <w:rsid w:val="0066068E"/>
    <w:rsid w:val="00660FE7"/>
    <w:rsid w:val="006614A3"/>
    <w:rsid w:val="00662EC8"/>
    <w:rsid w:val="0066325D"/>
    <w:rsid w:val="0066337A"/>
    <w:rsid w:val="006659A9"/>
    <w:rsid w:val="00665B9B"/>
    <w:rsid w:val="00666427"/>
    <w:rsid w:val="00667014"/>
    <w:rsid w:val="00670680"/>
    <w:rsid w:val="006714EB"/>
    <w:rsid w:val="00671743"/>
    <w:rsid w:val="006718F3"/>
    <w:rsid w:val="006722A0"/>
    <w:rsid w:val="00672550"/>
    <w:rsid w:val="00674236"/>
    <w:rsid w:val="00674E15"/>
    <w:rsid w:val="00675E13"/>
    <w:rsid w:val="0067779D"/>
    <w:rsid w:val="00680CB4"/>
    <w:rsid w:val="00680D48"/>
    <w:rsid w:val="006822DA"/>
    <w:rsid w:val="0068293B"/>
    <w:rsid w:val="006840CE"/>
    <w:rsid w:val="00684C3E"/>
    <w:rsid w:val="006861AA"/>
    <w:rsid w:val="006862E6"/>
    <w:rsid w:val="00687557"/>
    <w:rsid w:val="006900BA"/>
    <w:rsid w:val="0069111A"/>
    <w:rsid w:val="00691365"/>
    <w:rsid w:val="006925EB"/>
    <w:rsid w:val="00694125"/>
    <w:rsid w:val="00695A69"/>
    <w:rsid w:val="00696753"/>
    <w:rsid w:val="00696960"/>
    <w:rsid w:val="00696A1A"/>
    <w:rsid w:val="006978EE"/>
    <w:rsid w:val="006A0F72"/>
    <w:rsid w:val="006A1CCE"/>
    <w:rsid w:val="006A4123"/>
    <w:rsid w:val="006A5A61"/>
    <w:rsid w:val="006A6BE5"/>
    <w:rsid w:val="006A70C2"/>
    <w:rsid w:val="006B3723"/>
    <w:rsid w:val="006B380D"/>
    <w:rsid w:val="006B3AB0"/>
    <w:rsid w:val="006B3F3E"/>
    <w:rsid w:val="006B5E90"/>
    <w:rsid w:val="006B6C2E"/>
    <w:rsid w:val="006B768E"/>
    <w:rsid w:val="006B7B33"/>
    <w:rsid w:val="006C005A"/>
    <w:rsid w:val="006C1DFE"/>
    <w:rsid w:val="006C25A9"/>
    <w:rsid w:val="006C29FE"/>
    <w:rsid w:val="006C463E"/>
    <w:rsid w:val="006C7105"/>
    <w:rsid w:val="006D0788"/>
    <w:rsid w:val="006D0B31"/>
    <w:rsid w:val="006D0C8A"/>
    <w:rsid w:val="006D1B42"/>
    <w:rsid w:val="006D430D"/>
    <w:rsid w:val="006D4C8E"/>
    <w:rsid w:val="006D52F9"/>
    <w:rsid w:val="006D57B1"/>
    <w:rsid w:val="006D7B55"/>
    <w:rsid w:val="006E023C"/>
    <w:rsid w:val="006E1D01"/>
    <w:rsid w:val="006E288A"/>
    <w:rsid w:val="006E2A7D"/>
    <w:rsid w:val="006E7D03"/>
    <w:rsid w:val="006E7FAB"/>
    <w:rsid w:val="006F0404"/>
    <w:rsid w:val="006F172F"/>
    <w:rsid w:val="006F17EC"/>
    <w:rsid w:val="006F2C4C"/>
    <w:rsid w:val="006F4731"/>
    <w:rsid w:val="006F5E33"/>
    <w:rsid w:val="006F6158"/>
    <w:rsid w:val="006F64F4"/>
    <w:rsid w:val="006F6666"/>
    <w:rsid w:val="006F6D2D"/>
    <w:rsid w:val="00703CE4"/>
    <w:rsid w:val="00704902"/>
    <w:rsid w:val="00706626"/>
    <w:rsid w:val="00711149"/>
    <w:rsid w:val="007128DE"/>
    <w:rsid w:val="00712FBE"/>
    <w:rsid w:val="00714409"/>
    <w:rsid w:val="0071502D"/>
    <w:rsid w:val="00715F83"/>
    <w:rsid w:val="00716DA6"/>
    <w:rsid w:val="00716F97"/>
    <w:rsid w:val="00720F62"/>
    <w:rsid w:val="007213B8"/>
    <w:rsid w:val="007216A7"/>
    <w:rsid w:val="00722B79"/>
    <w:rsid w:val="00722BAC"/>
    <w:rsid w:val="00723031"/>
    <w:rsid w:val="007239AB"/>
    <w:rsid w:val="00724750"/>
    <w:rsid w:val="00724828"/>
    <w:rsid w:val="00724EE0"/>
    <w:rsid w:val="00725AA9"/>
    <w:rsid w:val="00726B55"/>
    <w:rsid w:val="00727C80"/>
    <w:rsid w:val="0073069C"/>
    <w:rsid w:val="00730F17"/>
    <w:rsid w:val="00732299"/>
    <w:rsid w:val="007333A0"/>
    <w:rsid w:val="007334EE"/>
    <w:rsid w:val="00734555"/>
    <w:rsid w:val="00734CBD"/>
    <w:rsid w:val="00735083"/>
    <w:rsid w:val="0073574B"/>
    <w:rsid w:val="0073768A"/>
    <w:rsid w:val="00740D83"/>
    <w:rsid w:val="00740F2D"/>
    <w:rsid w:val="00741BFD"/>
    <w:rsid w:val="00741E7B"/>
    <w:rsid w:val="007435BA"/>
    <w:rsid w:val="00743B24"/>
    <w:rsid w:val="00743D9B"/>
    <w:rsid w:val="00744070"/>
    <w:rsid w:val="0074512B"/>
    <w:rsid w:val="007454AA"/>
    <w:rsid w:val="007455F5"/>
    <w:rsid w:val="007465F0"/>
    <w:rsid w:val="007467BE"/>
    <w:rsid w:val="00746851"/>
    <w:rsid w:val="00747AFB"/>
    <w:rsid w:val="00747BC4"/>
    <w:rsid w:val="00751A8C"/>
    <w:rsid w:val="00752EB2"/>
    <w:rsid w:val="00754261"/>
    <w:rsid w:val="00756D79"/>
    <w:rsid w:val="00761D4C"/>
    <w:rsid w:val="007623C7"/>
    <w:rsid w:val="007625DE"/>
    <w:rsid w:val="007626EB"/>
    <w:rsid w:val="00762A69"/>
    <w:rsid w:val="00764725"/>
    <w:rsid w:val="00765203"/>
    <w:rsid w:val="0076575F"/>
    <w:rsid w:val="00765EFC"/>
    <w:rsid w:val="00766732"/>
    <w:rsid w:val="00767A8E"/>
    <w:rsid w:val="00771F2E"/>
    <w:rsid w:val="00772319"/>
    <w:rsid w:val="00774BB9"/>
    <w:rsid w:val="00777384"/>
    <w:rsid w:val="007777DD"/>
    <w:rsid w:val="0078141F"/>
    <w:rsid w:val="007818C7"/>
    <w:rsid w:val="00781C88"/>
    <w:rsid w:val="00783284"/>
    <w:rsid w:val="00783963"/>
    <w:rsid w:val="00783B6D"/>
    <w:rsid w:val="00784CB7"/>
    <w:rsid w:val="00785D88"/>
    <w:rsid w:val="007865A2"/>
    <w:rsid w:val="00786897"/>
    <w:rsid w:val="00786D24"/>
    <w:rsid w:val="00786D49"/>
    <w:rsid w:val="00787196"/>
    <w:rsid w:val="00790596"/>
    <w:rsid w:val="00791569"/>
    <w:rsid w:val="00794847"/>
    <w:rsid w:val="00795F82"/>
    <w:rsid w:val="007970D9"/>
    <w:rsid w:val="007974DA"/>
    <w:rsid w:val="00797CAD"/>
    <w:rsid w:val="007A02A8"/>
    <w:rsid w:val="007A088A"/>
    <w:rsid w:val="007A1631"/>
    <w:rsid w:val="007A2137"/>
    <w:rsid w:val="007A216C"/>
    <w:rsid w:val="007A2503"/>
    <w:rsid w:val="007A25CA"/>
    <w:rsid w:val="007A2AB6"/>
    <w:rsid w:val="007A4F5A"/>
    <w:rsid w:val="007A5B6B"/>
    <w:rsid w:val="007A60A9"/>
    <w:rsid w:val="007A6241"/>
    <w:rsid w:val="007A6EEB"/>
    <w:rsid w:val="007A762D"/>
    <w:rsid w:val="007B03BF"/>
    <w:rsid w:val="007B15F0"/>
    <w:rsid w:val="007B1C77"/>
    <w:rsid w:val="007B3331"/>
    <w:rsid w:val="007B3B8B"/>
    <w:rsid w:val="007B5311"/>
    <w:rsid w:val="007B63D5"/>
    <w:rsid w:val="007B7164"/>
    <w:rsid w:val="007C01E5"/>
    <w:rsid w:val="007C0DE1"/>
    <w:rsid w:val="007C13DF"/>
    <w:rsid w:val="007C1E92"/>
    <w:rsid w:val="007C1FB0"/>
    <w:rsid w:val="007C2333"/>
    <w:rsid w:val="007C284A"/>
    <w:rsid w:val="007C2878"/>
    <w:rsid w:val="007C3314"/>
    <w:rsid w:val="007C3529"/>
    <w:rsid w:val="007C3749"/>
    <w:rsid w:val="007C4989"/>
    <w:rsid w:val="007C634B"/>
    <w:rsid w:val="007C77D2"/>
    <w:rsid w:val="007D0771"/>
    <w:rsid w:val="007D0B34"/>
    <w:rsid w:val="007D16F3"/>
    <w:rsid w:val="007D2706"/>
    <w:rsid w:val="007D2871"/>
    <w:rsid w:val="007D2CE1"/>
    <w:rsid w:val="007D49D2"/>
    <w:rsid w:val="007D5AA2"/>
    <w:rsid w:val="007D5EE0"/>
    <w:rsid w:val="007D6BB3"/>
    <w:rsid w:val="007D75B5"/>
    <w:rsid w:val="007D7F26"/>
    <w:rsid w:val="007E0B3D"/>
    <w:rsid w:val="007E0FDC"/>
    <w:rsid w:val="007E1AE1"/>
    <w:rsid w:val="007E2A9A"/>
    <w:rsid w:val="007E46B8"/>
    <w:rsid w:val="007E4C04"/>
    <w:rsid w:val="007E5E5F"/>
    <w:rsid w:val="007F031A"/>
    <w:rsid w:val="007F0DB2"/>
    <w:rsid w:val="007F36EC"/>
    <w:rsid w:val="007F38DE"/>
    <w:rsid w:val="007F484B"/>
    <w:rsid w:val="007F4A22"/>
    <w:rsid w:val="007F5C88"/>
    <w:rsid w:val="007F7F8D"/>
    <w:rsid w:val="008000DD"/>
    <w:rsid w:val="00800E57"/>
    <w:rsid w:val="00803EBC"/>
    <w:rsid w:val="00803FD3"/>
    <w:rsid w:val="00805F64"/>
    <w:rsid w:val="008067BC"/>
    <w:rsid w:val="00806CDF"/>
    <w:rsid w:val="00810056"/>
    <w:rsid w:val="008104EC"/>
    <w:rsid w:val="00810CFE"/>
    <w:rsid w:val="0081103C"/>
    <w:rsid w:val="008119F2"/>
    <w:rsid w:val="00814189"/>
    <w:rsid w:val="00815CC2"/>
    <w:rsid w:val="00815D46"/>
    <w:rsid w:val="00816697"/>
    <w:rsid w:val="00820049"/>
    <w:rsid w:val="0082371C"/>
    <w:rsid w:val="00826868"/>
    <w:rsid w:val="00826C39"/>
    <w:rsid w:val="00827C96"/>
    <w:rsid w:val="008312FB"/>
    <w:rsid w:val="00831BD5"/>
    <w:rsid w:val="00833339"/>
    <w:rsid w:val="008334C0"/>
    <w:rsid w:val="00833E89"/>
    <w:rsid w:val="00834004"/>
    <w:rsid w:val="00834962"/>
    <w:rsid w:val="008353CF"/>
    <w:rsid w:val="00835748"/>
    <w:rsid w:val="00836266"/>
    <w:rsid w:val="00837A3C"/>
    <w:rsid w:val="00840B92"/>
    <w:rsid w:val="00840EF0"/>
    <w:rsid w:val="008413B1"/>
    <w:rsid w:val="00842627"/>
    <w:rsid w:val="00842663"/>
    <w:rsid w:val="00843E6F"/>
    <w:rsid w:val="008464AF"/>
    <w:rsid w:val="00847E14"/>
    <w:rsid w:val="00850158"/>
    <w:rsid w:val="0085348C"/>
    <w:rsid w:val="008534B7"/>
    <w:rsid w:val="008534F3"/>
    <w:rsid w:val="0085368B"/>
    <w:rsid w:val="0085648F"/>
    <w:rsid w:val="00857CC2"/>
    <w:rsid w:val="00860367"/>
    <w:rsid w:val="0086095D"/>
    <w:rsid w:val="008612C4"/>
    <w:rsid w:val="00861EF0"/>
    <w:rsid w:val="00862ECF"/>
    <w:rsid w:val="008644B1"/>
    <w:rsid w:val="00864C46"/>
    <w:rsid w:val="008656D9"/>
    <w:rsid w:val="008658A5"/>
    <w:rsid w:val="0086599E"/>
    <w:rsid w:val="00865A57"/>
    <w:rsid w:val="00865D4D"/>
    <w:rsid w:val="00867958"/>
    <w:rsid w:val="00867C0D"/>
    <w:rsid w:val="00870530"/>
    <w:rsid w:val="008707F6"/>
    <w:rsid w:val="00870885"/>
    <w:rsid w:val="0087135A"/>
    <w:rsid w:val="00871B69"/>
    <w:rsid w:val="00871BC9"/>
    <w:rsid w:val="00874070"/>
    <w:rsid w:val="008776B8"/>
    <w:rsid w:val="00880B9C"/>
    <w:rsid w:val="00881D20"/>
    <w:rsid w:val="00881E10"/>
    <w:rsid w:val="00883541"/>
    <w:rsid w:val="00883EAE"/>
    <w:rsid w:val="00884725"/>
    <w:rsid w:val="00886FFF"/>
    <w:rsid w:val="00887194"/>
    <w:rsid w:val="00890905"/>
    <w:rsid w:val="008912F4"/>
    <w:rsid w:val="00893D8C"/>
    <w:rsid w:val="00894C54"/>
    <w:rsid w:val="00897F58"/>
    <w:rsid w:val="008A087A"/>
    <w:rsid w:val="008A0D8B"/>
    <w:rsid w:val="008A12AD"/>
    <w:rsid w:val="008A1FF0"/>
    <w:rsid w:val="008A21F5"/>
    <w:rsid w:val="008A2312"/>
    <w:rsid w:val="008A2FBA"/>
    <w:rsid w:val="008A4A91"/>
    <w:rsid w:val="008A5F27"/>
    <w:rsid w:val="008B0626"/>
    <w:rsid w:val="008B2426"/>
    <w:rsid w:val="008B305E"/>
    <w:rsid w:val="008B3953"/>
    <w:rsid w:val="008B3EAC"/>
    <w:rsid w:val="008B4414"/>
    <w:rsid w:val="008B5436"/>
    <w:rsid w:val="008B562D"/>
    <w:rsid w:val="008B7607"/>
    <w:rsid w:val="008B7E40"/>
    <w:rsid w:val="008B7F45"/>
    <w:rsid w:val="008C1726"/>
    <w:rsid w:val="008C1DA0"/>
    <w:rsid w:val="008C2353"/>
    <w:rsid w:val="008C7FFC"/>
    <w:rsid w:val="008D05DA"/>
    <w:rsid w:val="008D08FB"/>
    <w:rsid w:val="008D1778"/>
    <w:rsid w:val="008D18C5"/>
    <w:rsid w:val="008D18FE"/>
    <w:rsid w:val="008D2989"/>
    <w:rsid w:val="008D5B4F"/>
    <w:rsid w:val="008E1968"/>
    <w:rsid w:val="008E42C5"/>
    <w:rsid w:val="008E5FAA"/>
    <w:rsid w:val="008E6A88"/>
    <w:rsid w:val="008E723D"/>
    <w:rsid w:val="008E78F7"/>
    <w:rsid w:val="008E7977"/>
    <w:rsid w:val="008F02C3"/>
    <w:rsid w:val="008F1E20"/>
    <w:rsid w:val="008F20E7"/>
    <w:rsid w:val="008F3288"/>
    <w:rsid w:val="008F38AF"/>
    <w:rsid w:val="008F39A8"/>
    <w:rsid w:val="008F6299"/>
    <w:rsid w:val="008F64B3"/>
    <w:rsid w:val="008F6980"/>
    <w:rsid w:val="00900A6E"/>
    <w:rsid w:val="009011A3"/>
    <w:rsid w:val="009017C4"/>
    <w:rsid w:val="00902541"/>
    <w:rsid w:val="00903288"/>
    <w:rsid w:val="009041E3"/>
    <w:rsid w:val="00904DD6"/>
    <w:rsid w:val="00905000"/>
    <w:rsid w:val="00905A9E"/>
    <w:rsid w:val="00905CD4"/>
    <w:rsid w:val="00906556"/>
    <w:rsid w:val="00906CC6"/>
    <w:rsid w:val="00907764"/>
    <w:rsid w:val="009100D0"/>
    <w:rsid w:val="00910121"/>
    <w:rsid w:val="00910673"/>
    <w:rsid w:val="009135BD"/>
    <w:rsid w:val="009137CC"/>
    <w:rsid w:val="00915AE9"/>
    <w:rsid w:val="00917310"/>
    <w:rsid w:val="00917654"/>
    <w:rsid w:val="00917FEF"/>
    <w:rsid w:val="0092069C"/>
    <w:rsid w:val="00921C92"/>
    <w:rsid w:val="00924DC6"/>
    <w:rsid w:val="00925ED6"/>
    <w:rsid w:val="00926137"/>
    <w:rsid w:val="00926392"/>
    <w:rsid w:val="00926563"/>
    <w:rsid w:val="00927779"/>
    <w:rsid w:val="0093060A"/>
    <w:rsid w:val="009322C7"/>
    <w:rsid w:val="00933317"/>
    <w:rsid w:val="0093564B"/>
    <w:rsid w:val="00936768"/>
    <w:rsid w:val="00937104"/>
    <w:rsid w:val="00937C5B"/>
    <w:rsid w:val="00940A89"/>
    <w:rsid w:val="0094109C"/>
    <w:rsid w:val="00942BE5"/>
    <w:rsid w:val="0094308A"/>
    <w:rsid w:val="00946437"/>
    <w:rsid w:val="009476AB"/>
    <w:rsid w:val="00947C9F"/>
    <w:rsid w:val="00950156"/>
    <w:rsid w:val="0095031B"/>
    <w:rsid w:val="00951730"/>
    <w:rsid w:val="00952412"/>
    <w:rsid w:val="0095321F"/>
    <w:rsid w:val="009534EE"/>
    <w:rsid w:val="00953861"/>
    <w:rsid w:val="0095533E"/>
    <w:rsid w:val="00955A76"/>
    <w:rsid w:val="00956D16"/>
    <w:rsid w:val="00962A97"/>
    <w:rsid w:val="009630CF"/>
    <w:rsid w:val="00963DF9"/>
    <w:rsid w:val="00964703"/>
    <w:rsid w:val="009654B6"/>
    <w:rsid w:val="00965A86"/>
    <w:rsid w:val="009662EA"/>
    <w:rsid w:val="009663DE"/>
    <w:rsid w:val="00966BF9"/>
    <w:rsid w:val="009724FE"/>
    <w:rsid w:val="00973520"/>
    <w:rsid w:val="00975106"/>
    <w:rsid w:val="00975653"/>
    <w:rsid w:val="009772DC"/>
    <w:rsid w:val="00977D63"/>
    <w:rsid w:val="00981053"/>
    <w:rsid w:val="009812F9"/>
    <w:rsid w:val="0098254E"/>
    <w:rsid w:val="0098255F"/>
    <w:rsid w:val="00983E06"/>
    <w:rsid w:val="00984662"/>
    <w:rsid w:val="0098563C"/>
    <w:rsid w:val="00985DCD"/>
    <w:rsid w:val="009871C5"/>
    <w:rsid w:val="0099261F"/>
    <w:rsid w:val="00992DA4"/>
    <w:rsid w:val="00994E34"/>
    <w:rsid w:val="00995F05"/>
    <w:rsid w:val="009A03C9"/>
    <w:rsid w:val="009A1AE0"/>
    <w:rsid w:val="009A2E34"/>
    <w:rsid w:val="009A3692"/>
    <w:rsid w:val="009A663C"/>
    <w:rsid w:val="009A6ACB"/>
    <w:rsid w:val="009A7E8C"/>
    <w:rsid w:val="009B02EB"/>
    <w:rsid w:val="009B09B6"/>
    <w:rsid w:val="009B1505"/>
    <w:rsid w:val="009B17E8"/>
    <w:rsid w:val="009B1F84"/>
    <w:rsid w:val="009B21B9"/>
    <w:rsid w:val="009B2912"/>
    <w:rsid w:val="009B2ED9"/>
    <w:rsid w:val="009B4026"/>
    <w:rsid w:val="009B4314"/>
    <w:rsid w:val="009B498A"/>
    <w:rsid w:val="009B4BEC"/>
    <w:rsid w:val="009B5071"/>
    <w:rsid w:val="009B5778"/>
    <w:rsid w:val="009B5876"/>
    <w:rsid w:val="009B6206"/>
    <w:rsid w:val="009B6524"/>
    <w:rsid w:val="009B6E94"/>
    <w:rsid w:val="009B7319"/>
    <w:rsid w:val="009B771A"/>
    <w:rsid w:val="009C01FE"/>
    <w:rsid w:val="009C1F15"/>
    <w:rsid w:val="009C262B"/>
    <w:rsid w:val="009C463A"/>
    <w:rsid w:val="009C5F94"/>
    <w:rsid w:val="009D0899"/>
    <w:rsid w:val="009D0928"/>
    <w:rsid w:val="009D107D"/>
    <w:rsid w:val="009D109D"/>
    <w:rsid w:val="009D2815"/>
    <w:rsid w:val="009D313C"/>
    <w:rsid w:val="009D4157"/>
    <w:rsid w:val="009D4ED8"/>
    <w:rsid w:val="009D4F65"/>
    <w:rsid w:val="009D5D96"/>
    <w:rsid w:val="009D6251"/>
    <w:rsid w:val="009D62DE"/>
    <w:rsid w:val="009D7D69"/>
    <w:rsid w:val="009E0CF0"/>
    <w:rsid w:val="009E0E0A"/>
    <w:rsid w:val="009E0E24"/>
    <w:rsid w:val="009E17CD"/>
    <w:rsid w:val="009E1ABD"/>
    <w:rsid w:val="009E1EB3"/>
    <w:rsid w:val="009E2541"/>
    <w:rsid w:val="009E2591"/>
    <w:rsid w:val="009E2745"/>
    <w:rsid w:val="009E32C2"/>
    <w:rsid w:val="009E32C5"/>
    <w:rsid w:val="009E42B7"/>
    <w:rsid w:val="009E49B4"/>
    <w:rsid w:val="009E64C8"/>
    <w:rsid w:val="009E7218"/>
    <w:rsid w:val="009E78DB"/>
    <w:rsid w:val="009E7C76"/>
    <w:rsid w:val="009F0EF1"/>
    <w:rsid w:val="009F18C4"/>
    <w:rsid w:val="009F1E1B"/>
    <w:rsid w:val="009F2A8B"/>
    <w:rsid w:val="009F403F"/>
    <w:rsid w:val="009F466B"/>
    <w:rsid w:val="009F6BA7"/>
    <w:rsid w:val="009F7954"/>
    <w:rsid w:val="00A01993"/>
    <w:rsid w:val="00A04BAF"/>
    <w:rsid w:val="00A04BE3"/>
    <w:rsid w:val="00A04D13"/>
    <w:rsid w:val="00A05CD1"/>
    <w:rsid w:val="00A0681D"/>
    <w:rsid w:val="00A075A6"/>
    <w:rsid w:val="00A079E6"/>
    <w:rsid w:val="00A07B4F"/>
    <w:rsid w:val="00A1285F"/>
    <w:rsid w:val="00A15399"/>
    <w:rsid w:val="00A154E8"/>
    <w:rsid w:val="00A17626"/>
    <w:rsid w:val="00A17AED"/>
    <w:rsid w:val="00A20813"/>
    <w:rsid w:val="00A21429"/>
    <w:rsid w:val="00A21FA4"/>
    <w:rsid w:val="00A22757"/>
    <w:rsid w:val="00A23464"/>
    <w:rsid w:val="00A24627"/>
    <w:rsid w:val="00A24DD7"/>
    <w:rsid w:val="00A25711"/>
    <w:rsid w:val="00A25BB0"/>
    <w:rsid w:val="00A26055"/>
    <w:rsid w:val="00A262D3"/>
    <w:rsid w:val="00A265B6"/>
    <w:rsid w:val="00A278DE"/>
    <w:rsid w:val="00A31EA3"/>
    <w:rsid w:val="00A31F24"/>
    <w:rsid w:val="00A31FD4"/>
    <w:rsid w:val="00A32286"/>
    <w:rsid w:val="00A375D1"/>
    <w:rsid w:val="00A408DE"/>
    <w:rsid w:val="00A44021"/>
    <w:rsid w:val="00A4581C"/>
    <w:rsid w:val="00A464EE"/>
    <w:rsid w:val="00A47BF2"/>
    <w:rsid w:val="00A47C9F"/>
    <w:rsid w:val="00A512CA"/>
    <w:rsid w:val="00A516C4"/>
    <w:rsid w:val="00A53093"/>
    <w:rsid w:val="00A5313D"/>
    <w:rsid w:val="00A53DF1"/>
    <w:rsid w:val="00A561CD"/>
    <w:rsid w:val="00A56712"/>
    <w:rsid w:val="00A56E2D"/>
    <w:rsid w:val="00A57AD3"/>
    <w:rsid w:val="00A60696"/>
    <w:rsid w:val="00A61A93"/>
    <w:rsid w:val="00A624E7"/>
    <w:rsid w:val="00A653BF"/>
    <w:rsid w:val="00A65762"/>
    <w:rsid w:val="00A663CC"/>
    <w:rsid w:val="00A669F1"/>
    <w:rsid w:val="00A66C31"/>
    <w:rsid w:val="00A670D3"/>
    <w:rsid w:val="00A679FB"/>
    <w:rsid w:val="00A72FCB"/>
    <w:rsid w:val="00A733D5"/>
    <w:rsid w:val="00A73F24"/>
    <w:rsid w:val="00A743AA"/>
    <w:rsid w:val="00A7536F"/>
    <w:rsid w:val="00A76346"/>
    <w:rsid w:val="00A77280"/>
    <w:rsid w:val="00A77948"/>
    <w:rsid w:val="00A8027A"/>
    <w:rsid w:val="00A81128"/>
    <w:rsid w:val="00A8190D"/>
    <w:rsid w:val="00A819CB"/>
    <w:rsid w:val="00A828E4"/>
    <w:rsid w:val="00A82BC4"/>
    <w:rsid w:val="00A83222"/>
    <w:rsid w:val="00A83704"/>
    <w:rsid w:val="00A8520C"/>
    <w:rsid w:val="00A863C0"/>
    <w:rsid w:val="00A870A7"/>
    <w:rsid w:val="00A874F0"/>
    <w:rsid w:val="00A87895"/>
    <w:rsid w:val="00A901CF"/>
    <w:rsid w:val="00A90439"/>
    <w:rsid w:val="00A90C1F"/>
    <w:rsid w:val="00A90DDF"/>
    <w:rsid w:val="00A91A45"/>
    <w:rsid w:val="00A929C8"/>
    <w:rsid w:val="00A93A77"/>
    <w:rsid w:val="00A940E0"/>
    <w:rsid w:val="00A94B1F"/>
    <w:rsid w:val="00A95577"/>
    <w:rsid w:val="00A9565B"/>
    <w:rsid w:val="00A956BF"/>
    <w:rsid w:val="00AA03F4"/>
    <w:rsid w:val="00AA1E8B"/>
    <w:rsid w:val="00AA22EB"/>
    <w:rsid w:val="00AA5AD0"/>
    <w:rsid w:val="00AA6194"/>
    <w:rsid w:val="00AA6B0C"/>
    <w:rsid w:val="00AA70E8"/>
    <w:rsid w:val="00AA7FBB"/>
    <w:rsid w:val="00AB0031"/>
    <w:rsid w:val="00AB16A7"/>
    <w:rsid w:val="00AB185E"/>
    <w:rsid w:val="00AB3D7B"/>
    <w:rsid w:val="00AB4608"/>
    <w:rsid w:val="00AB5221"/>
    <w:rsid w:val="00AB5A2C"/>
    <w:rsid w:val="00AB60E9"/>
    <w:rsid w:val="00AB6253"/>
    <w:rsid w:val="00AB6A0D"/>
    <w:rsid w:val="00AB7F86"/>
    <w:rsid w:val="00AC0645"/>
    <w:rsid w:val="00AC19E9"/>
    <w:rsid w:val="00AC2BC6"/>
    <w:rsid w:val="00AC3A37"/>
    <w:rsid w:val="00AC5F03"/>
    <w:rsid w:val="00AC7935"/>
    <w:rsid w:val="00AD015D"/>
    <w:rsid w:val="00AD2E19"/>
    <w:rsid w:val="00AD339C"/>
    <w:rsid w:val="00AD48CA"/>
    <w:rsid w:val="00AD6438"/>
    <w:rsid w:val="00AD7611"/>
    <w:rsid w:val="00AE0956"/>
    <w:rsid w:val="00AE1DBC"/>
    <w:rsid w:val="00AE21F6"/>
    <w:rsid w:val="00AE305E"/>
    <w:rsid w:val="00AE3090"/>
    <w:rsid w:val="00AF06F0"/>
    <w:rsid w:val="00AF0F14"/>
    <w:rsid w:val="00AF2234"/>
    <w:rsid w:val="00AF2314"/>
    <w:rsid w:val="00AF3468"/>
    <w:rsid w:val="00AF3FFC"/>
    <w:rsid w:val="00AF45CE"/>
    <w:rsid w:val="00AF4CCB"/>
    <w:rsid w:val="00AF51F3"/>
    <w:rsid w:val="00AF549E"/>
    <w:rsid w:val="00AF55A5"/>
    <w:rsid w:val="00AF795E"/>
    <w:rsid w:val="00AF7B54"/>
    <w:rsid w:val="00B04070"/>
    <w:rsid w:val="00B04F10"/>
    <w:rsid w:val="00B050A9"/>
    <w:rsid w:val="00B065AE"/>
    <w:rsid w:val="00B071C1"/>
    <w:rsid w:val="00B078A3"/>
    <w:rsid w:val="00B1060A"/>
    <w:rsid w:val="00B12B69"/>
    <w:rsid w:val="00B14416"/>
    <w:rsid w:val="00B16707"/>
    <w:rsid w:val="00B16A85"/>
    <w:rsid w:val="00B16D4D"/>
    <w:rsid w:val="00B17219"/>
    <w:rsid w:val="00B179F6"/>
    <w:rsid w:val="00B17B56"/>
    <w:rsid w:val="00B17BA8"/>
    <w:rsid w:val="00B201EE"/>
    <w:rsid w:val="00B230CA"/>
    <w:rsid w:val="00B2323B"/>
    <w:rsid w:val="00B23572"/>
    <w:rsid w:val="00B23D64"/>
    <w:rsid w:val="00B241F1"/>
    <w:rsid w:val="00B253FF"/>
    <w:rsid w:val="00B25746"/>
    <w:rsid w:val="00B2764E"/>
    <w:rsid w:val="00B276BB"/>
    <w:rsid w:val="00B318E5"/>
    <w:rsid w:val="00B326E9"/>
    <w:rsid w:val="00B343F6"/>
    <w:rsid w:val="00B351AE"/>
    <w:rsid w:val="00B35AD0"/>
    <w:rsid w:val="00B35F31"/>
    <w:rsid w:val="00B36A90"/>
    <w:rsid w:val="00B421FA"/>
    <w:rsid w:val="00B42E0A"/>
    <w:rsid w:val="00B443BA"/>
    <w:rsid w:val="00B44471"/>
    <w:rsid w:val="00B45A7B"/>
    <w:rsid w:val="00B4625D"/>
    <w:rsid w:val="00B4626E"/>
    <w:rsid w:val="00B47076"/>
    <w:rsid w:val="00B478EB"/>
    <w:rsid w:val="00B501EF"/>
    <w:rsid w:val="00B50FE5"/>
    <w:rsid w:val="00B51CBB"/>
    <w:rsid w:val="00B53C84"/>
    <w:rsid w:val="00B546F8"/>
    <w:rsid w:val="00B605BF"/>
    <w:rsid w:val="00B615C8"/>
    <w:rsid w:val="00B61C6E"/>
    <w:rsid w:val="00B62160"/>
    <w:rsid w:val="00B66BA2"/>
    <w:rsid w:val="00B7009C"/>
    <w:rsid w:val="00B723F3"/>
    <w:rsid w:val="00B74357"/>
    <w:rsid w:val="00B7633D"/>
    <w:rsid w:val="00B81A59"/>
    <w:rsid w:val="00B8257E"/>
    <w:rsid w:val="00B84125"/>
    <w:rsid w:val="00B84712"/>
    <w:rsid w:val="00B84806"/>
    <w:rsid w:val="00B8788B"/>
    <w:rsid w:val="00B87FE3"/>
    <w:rsid w:val="00B9112A"/>
    <w:rsid w:val="00B92A23"/>
    <w:rsid w:val="00B92F4C"/>
    <w:rsid w:val="00B941D8"/>
    <w:rsid w:val="00B949EE"/>
    <w:rsid w:val="00B95143"/>
    <w:rsid w:val="00B95979"/>
    <w:rsid w:val="00B9768A"/>
    <w:rsid w:val="00BA0A08"/>
    <w:rsid w:val="00BA0E62"/>
    <w:rsid w:val="00BA1395"/>
    <w:rsid w:val="00BA13FF"/>
    <w:rsid w:val="00BA3860"/>
    <w:rsid w:val="00BA39E6"/>
    <w:rsid w:val="00BA40D4"/>
    <w:rsid w:val="00BA5E1A"/>
    <w:rsid w:val="00BA5E83"/>
    <w:rsid w:val="00BA723F"/>
    <w:rsid w:val="00BB0AE6"/>
    <w:rsid w:val="00BB1948"/>
    <w:rsid w:val="00BB311C"/>
    <w:rsid w:val="00BB3402"/>
    <w:rsid w:val="00BB3785"/>
    <w:rsid w:val="00BB400F"/>
    <w:rsid w:val="00BB5014"/>
    <w:rsid w:val="00BB5695"/>
    <w:rsid w:val="00BB58A1"/>
    <w:rsid w:val="00BB6FAA"/>
    <w:rsid w:val="00BC0368"/>
    <w:rsid w:val="00BC07A6"/>
    <w:rsid w:val="00BC0EAA"/>
    <w:rsid w:val="00BC1830"/>
    <w:rsid w:val="00BC18A1"/>
    <w:rsid w:val="00BC3F4F"/>
    <w:rsid w:val="00BC48CE"/>
    <w:rsid w:val="00BC5FAD"/>
    <w:rsid w:val="00BC6333"/>
    <w:rsid w:val="00BC6EDA"/>
    <w:rsid w:val="00BC712E"/>
    <w:rsid w:val="00BD5410"/>
    <w:rsid w:val="00BD7301"/>
    <w:rsid w:val="00BD77C0"/>
    <w:rsid w:val="00BE046B"/>
    <w:rsid w:val="00BE1149"/>
    <w:rsid w:val="00BE18C3"/>
    <w:rsid w:val="00BE4865"/>
    <w:rsid w:val="00BE71B6"/>
    <w:rsid w:val="00BF046D"/>
    <w:rsid w:val="00BF061C"/>
    <w:rsid w:val="00BF0B06"/>
    <w:rsid w:val="00BF473B"/>
    <w:rsid w:val="00BF4787"/>
    <w:rsid w:val="00BF505A"/>
    <w:rsid w:val="00BF5A01"/>
    <w:rsid w:val="00BF70F4"/>
    <w:rsid w:val="00BF7B8E"/>
    <w:rsid w:val="00C04532"/>
    <w:rsid w:val="00C04750"/>
    <w:rsid w:val="00C05D78"/>
    <w:rsid w:val="00C133E5"/>
    <w:rsid w:val="00C1413B"/>
    <w:rsid w:val="00C16684"/>
    <w:rsid w:val="00C16B84"/>
    <w:rsid w:val="00C22A01"/>
    <w:rsid w:val="00C23B72"/>
    <w:rsid w:val="00C24101"/>
    <w:rsid w:val="00C2423E"/>
    <w:rsid w:val="00C24998"/>
    <w:rsid w:val="00C254B8"/>
    <w:rsid w:val="00C263BF"/>
    <w:rsid w:val="00C27BB9"/>
    <w:rsid w:val="00C30579"/>
    <w:rsid w:val="00C313B1"/>
    <w:rsid w:val="00C356F5"/>
    <w:rsid w:val="00C357A9"/>
    <w:rsid w:val="00C37E87"/>
    <w:rsid w:val="00C4021C"/>
    <w:rsid w:val="00C40A26"/>
    <w:rsid w:val="00C4141A"/>
    <w:rsid w:val="00C418A3"/>
    <w:rsid w:val="00C42B09"/>
    <w:rsid w:val="00C43306"/>
    <w:rsid w:val="00C47FA2"/>
    <w:rsid w:val="00C5091C"/>
    <w:rsid w:val="00C52665"/>
    <w:rsid w:val="00C5291D"/>
    <w:rsid w:val="00C544D0"/>
    <w:rsid w:val="00C568AE"/>
    <w:rsid w:val="00C5766E"/>
    <w:rsid w:val="00C60444"/>
    <w:rsid w:val="00C6195C"/>
    <w:rsid w:val="00C62DC5"/>
    <w:rsid w:val="00C643CF"/>
    <w:rsid w:val="00C6565F"/>
    <w:rsid w:val="00C65E24"/>
    <w:rsid w:val="00C668A4"/>
    <w:rsid w:val="00C66978"/>
    <w:rsid w:val="00C71FCB"/>
    <w:rsid w:val="00C72ADE"/>
    <w:rsid w:val="00C73F76"/>
    <w:rsid w:val="00C74208"/>
    <w:rsid w:val="00C74228"/>
    <w:rsid w:val="00C74305"/>
    <w:rsid w:val="00C75173"/>
    <w:rsid w:val="00C75F90"/>
    <w:rsid w:val="00C760EF"/>
    <w:rsid w:val="00C7622F"/>
    <w:rsid w:val="00C770FD"/>
    <w:rsid w:val="00C773F0"/>
    <w:rsid w:val="00C809EE"/>
    <w:rsid w:val="00C81F12"/>
    <w:rsid w:val="00C82196"/>
    <w:rsid w:val="00C82CCE"/>
    <w:rsid w:val="00C86B53"/>
    <w:rsid w:val="00C87DB1"/>
    <w:rsid w:val="00C90D3D"/>
    <w:rsid w:val="00C910B1"/>
    <w:rsid w:val="00C9165E"/>
    <w:rsid w:val="00C935CF"/>
    <w:rsid w:val="00C93719"/>
    <w:rsid w:val="00C93D4B"/>
    <w:rsid w:val="00C94389"/>
    <w:rsid w:val="00CA15D0"/>
    <w:rsid w:val="00CA2A80"/>
    <w:rsid w:val="00CA3DE3"/>
    <w:rsid w:val="00CA4136"/>
    <w:rsid w:val="00CA5958"/>
    <w:rsid w:val="00CB004E"/>
    <w:rsid w:val="00CB09A3"/>
    <w:rsid w:val="00CB5648"/>
    <w:rsid w:val="00CB62BA"/>
    <w:rsid w:val="00CB684E"/>
    <w:rsid w:val="00CB7F99"/>
    <w:rsid w:val="00CC1308"/>
    <w:rsid w:val="00CC18BD"/>
    <w:rsid w:val="00CC239C"/>
    <w:rsid w:val="00CC3088"/>
    <w:rsid w:val="00CC38F7"/>
    <w:rsid w:val="00CC480F"/>
    <w:rsid w:val="00CC4BF4"/>
    <w:rsid w:val="00CC628F"/>
    <w:rsid w:val="00CC6BEB"/>
    <w:rsid w:val="00CC7E7A"/>
    <w:rsid w:val="00CD0344"/>
    <w:rsid w:val="00CD101C"/>
    <w:rsid w:val="00CD1FC0"/>
    <w:rsid w:val="00CD223D"/>
    <w:rsid w:val="00CD2B64"/>
    <w:rsid w:val="00CD3BE7"/>
    <w:rsid w:val="00CD604A"/>
    <w:rsid w:val="00CD7406"/>
    <w:rsid w:val="00CE319F"/>
    <w:rsid w:val="00CE337D"/>
    <w:rsid w:val="00CE4C9E"/>
    <w:rsid w:val="00CE7557"/>
    <w:rsid w:val="00CF0337"/>
    <w:rsid w:val="00CF0793"/>
    <w:rsid w:val="00CF12D6"/>
    <w:rsid w:val="00CF1366"/>
    <w:rsid w:val="00CF344B"/>
    <w:rsid w:val="00CF3774"/>
    <w:rsid w:val="00CF4117"/>
    <w:rsid w:val="00CF41AE"/>
    <w:rsid w:val="00CF4D68"/>
    <w:rsid w:val="00CF64A9"/>
    <w:rsid w:val="00CF6BF7"/>
    <w:rsid w:val="00CF7209"/>
    <w:rsid w:val="00CF7561"/>
    <w:rsid w:val="00D00799"/>
    <w:rsid w:val="00D007EB"/>
    <w:rsid w:val="00D010D7"/>
    <w:rsid w:val="00D016AB"/>
    <w:rsid w:val="00D02937"/>
    <w:rsid w:val="00D029F4"/>
    <w:rsid w:val="00D02F52"/>
    <w:rsid w:val="00D0352F"/>
    <w:rsid w:val="00D03F87"/>
    <w:rsid w:val="00D04D66"/>
    <w:rsid w:val="00D04F0A"/>
    <w:rsid w:val="00D0522E"/>
    <w:rsid w:val="00D063AF"/>
    <w:rsid w:val="00D07C9F"/>
    <w:rsid w:val="00D10D02"/>
    <w:rsid w:val="00D10D05"/>
    <w:rsid w:val="00D138B9"/>
    <w:rsid w:val="00D14B44"/>
    <w:rsid w:val="00D15DB0"/>
    <w:rsid w:val="00D1612F"/>
    <w:rsid w:val="00D166EA"/>
    <w:rsid w:val="00D21569"/>
    <w:rsid w:val="00D222DB"/>
    <w:rsid w:val="00D238DE"/>
    <w:rsid w:val="00D23948"/>
    <w:rsid w:val="00D23E22"/>
    <w:rsid w:val="00D25D83"/>
    <w:rsid w:val="00D26083"/>
    <w:rsid w:val="00D264DD"/>
    <w:rsid w:val="00D2706E"/>
    <w:rsid w:val="00D27D22"/>
    <w:rsid w:val="00D3168F"/>
    <w:rsid w:val="00D31F5C"/>
    <w:rsid w:val="00D3271B"/>
    <w:rsid w:val="00D341E1"/>
    <w:rsid w:val="00D354D6"/>
    <w:rsid w:val="00D356C9"/>
    <w:rsid w:val="00D35D91"/>
    <w:rsid w:val="00D4081E"/>
    <w:rsid w:val="00D4481E"/>
    <w:rsid w:val="00D44AFE"/>
    <w:rsid w:val="00D44FA8"/>
    <w:rsid w:val="00D4594A"/>
    <w:rsid w:val="00D46BF0"/>
    <w:rsid w:val="00D51101"/>
    <w:rsid w:val="00D5120B"/>
    <w:rsid w:val="00D512E4"/>
    <w:rsid w:val="00D51346"/>
    <w:rsid w:val="00D5224E"/>
    <w:rsid w:val="00D53052"/>
    <w:rsid w:val="00D55F6D"/>
    <w:rsid w:val="00D567D4"/>
    <w:rsid w:val="00D56F3A"/>
    <w:rsid w:val="00D57E0A"/>
    <w:rsid w:val="00D60F80"/>
    <w:rsid w:val="00D61870"/>
    <w:rsid w:val="00D6209F"/>
    <w:rsid w:val="00D628F2"/>
    <w:rsid w:val="00D631B7"/>
    <w:rsid w:val="00D65B9D"/>
    <w:rsid w:val="00D65CC3"/>
    <w:rsid w:val="00D6716B"/>
    <w:rsid w:val="00D671FF"/>
    <w:rsid w:val="00D677B3"/>
    <w:rsid w:val="00D6781B"/>
    <w:rsid w:val="00D67EF9"/>
    <w:rsid w:val="00D703FA"/>
    <w:rsid w:val="00D70F92"/>
    <w:rsid w:val="00D71CDA"/>
    <w:rsid w:val="00D74D73"/>
    <w:rsid w:val="00D803EE"/>
    <w:rsid w:val="00D836A8"/>
    <w:rsid w:val="00D84AC7"/>
    <w:rsid w:val="00D84C98"/>
    <w:rsid w:val="00D84EB5"/>
    <w:rsid w:val="00D84FF5"/>
    <w:rsid w:val="00D8615D"/>
    <w:rsid w:val="00D871FA"/>
    <w:rsid w:val="00D87D45"/>
    <w:rsid w:val="00D916F7"/>
    <w:rsid w:val="00D9272D"/>
    <w:rsid w:val="00D9683E"/>
    <w:rsid w:val="00DA031C"/>
    <w:rsid w:val="00DA0FC3"/>
    <w:rsid w:val="00DA2A2C"/>
    <w:rsid w:val="00DA3FC8"/>
    <w:rsid w:val="00DA4579"/>
    <w:rsid w:val="00DA46D0"/>
    <w:rsid w:val="00DA48BE"/>
    <w:rsid w:val="00DA4D0B"/>
    <w:rsid w:val="00DA66EA"/>
    <w:rsid w:val="00DA74E3"/>
    <w:rsid w:val="00DB00A3"/>
    <w:rsid w:val="00DB1740"/>
    <w:rsid w:val="00DB2096"/>
    <w:rsid w:val="00DB2FBA"/>
    <w:rsid w:val="00DB3CDC"/>
    <w:rsid w:val="00DB50B0"/>
    <w:rsid w:val="00DB7226"/>
    <w:rsid w:val="00DB7432"/>
    <w:rsid w:val="00DB7C71"/>
    <w:rsid w:val="00DC1D87"/>
    <w:rsid w:val="00DC2BDD"/>
    <w:rsid w:val="00DC4248"/>
    <w:rsid w:val="00DC5D82"/>
    <w:rsid w:val="00DC63B4"/>
    <w:rsid w:val="00DC6483"/>
    <w:rsid w:val="00DC651D"/>
    <w:rsid w:val="00DC70EE"/>
    <w:rsid w:val="00DC74B4"/>
    <w:rsid w:val="00DC74C5"/>
    <w:rsid w:val="00DD01D5"/>
    <w:rsid w:val="00DD12C1"/>
    <w:rsid w:val="00DD188F"/>
    <w:rsid w:val="00DD49B0"/>
    <w:rsid w:val="00DD5C47"/>
    <w:rsid w:val="00DD5F89"/>
    <w:rsid w:val="00DD784F"/>
    <w:rsid w:val="00DD7CCC"/>
    <w:rsid w:val="00DE0611"/>
    <w:rsid w:val="00DE2340"/>
    <w:rsid w:val="00DE4228"/>
    <w:rsid w:val="00DE5297"/>
    <w:rsid w:val="00DE585E"/>
    <w:rsid w:val="00DE59A0"/>
    <w:rsid w:val="00DF08E5"/>
    <w:rsid w:val="00DF0AA1"/>
    <w:rsid w:val="00DF0D2D"/>
    <w:rsid w:val="00DF1234"/>
    <w:rsid w:val="00DF12DE"/>
    <w:rsid w:val="00DF17DA"/>
    <w:rsid w:val="00DF30DB"/>
    <w:rsid w:val="00DF7790"/>
    <w:rsid w:val="00DF77EF"/>
    <w:rsid w:val="00E000B5"/>
    <w:rsid w:val="00E002A1"/>
    <w:rsid w:val="00E05787"/>
    <w:rsid w:val="00E06BCC"/>
    <w:rsid w:val="00E1036A"/>
    <w:rsid w:val="00E10598"/>
    <w:rsid w:val="00E105A5"/>
    <w:rsid w:val="00E10FDC"/>
    <w:rsid w:val="00E1150F"/>
    <w:rsid w:val="00E11FBB"/>
    <w:rsid w:val="00E11FE6"/>
    <w:rsid w:val="00E1237C"/>
    <w:rsid w:val="00E12581"/>
    <w:rsid w:val="00E12862"/>
    <w:rsid w:val="00E14756"/>
    <w:rsid w:val="00E14CB3"/>
    <w:rsid w:val="00E16EC8"/>
    <w:rsid w:val="00E219F5"/>
    <w:rsid w:val="00E23CBA"/>
    <w:rsid w:val="00E253AD"/>
    <w:rsid w:val="00E25B51"/>
    <w:rsid w:val="00E26A05"/>
    <w:rsid w:val="00E3035A"/>
    <w:rsid w:val="00E3212B"/>
    <w:rsid w:val="00E32578"/>
    <w:rsid w:val="00E32D75"/>
    <w:rsid w:val="00E345CE"/>
    <w:rsid w:val="00E34683"/>
    <w:rsid w:val="00E35466"/>
    <w:rsid w:val="00E35963"/>
    <w:rsid w:val="00E37131"/>
    <w:rsid w:val="00E400A8"/>
    <w:rsid w:val="00E40804"/>
    <w:rsid w:val="00E413E0"/>
    <w:rsid w:val="00E41B5C"/>
    <w:rsid w:val="00E421CB"/>
    <w:rsid w:val="00E436C9"/>
    <w:rsid w:val="00E43A69"/>
    <w:rsid w:val="00E4495C"/>
    <w:rsid w:val="00E4567D"/>
    <w:rsid w:val="00E4570A"/>
    <w:rsid w:val="00E458EB"/>
    <w:rsid w:val="00E46130"/>
    <w:rsid w:val="00E476B2"/>
    <w:rsid w:val="00E51211"/>
    <w:rsid w:val="00E515A9"/>
    <w:rsid w:val="00E5258A"/>
    <w:rsid w:val="00E53773"/>
    <w:rsid w:val="00E55872"/>
    <w:rsid w:val="00E55C1C"/>
    <w:rsid w:val="00E56998"/>
    <w:rsid w:val="00E56ABC"/>
    <w:rsid w:val="00E56FA9"/>
    <w:rsid w:val="00E604FA"/>
    <w:rsid w:val="00E61411"/>
    <w:rsid w:val="00E61766"/>
    <w:rsid w:val="00E62F55"/>
    <w:rsid w:val="00E63866"/>
    <w:rsid w:val="00E6524A"/>
    <w:rsid w:val="00E70412"/>
    <w:rsid w:val="00E713F4"/>
    <w:rsid w:val="00E72045"/>
    <w:rsid w:val="00E72858"/>
    <w:rsid w:val="00E73682"/>
    <w:rsid w:val="00E74462"/>
    <w:rsid w:val="00E74F0A"/>
    <w:rsid w:val="00E76AE6"/>
    <w:rsid w:val="00E7766B"/>
    <w:rsid w:val="00E80748"/>
    <w:rsid w:val="00E85E7A"/>
    <w:rsid w:val="00E873BB"/>
    <w:rsid w:val="00E8744D"/>
    <w:rsid w:val="00E92FB8"/>
    <w:rsid w:val="00E93AD3"/>
    <w:rsid w:val="00E94B4C"/>
    <w:rsid w:val="00E95A9F"/>
    <w:rsid w:val="00E970DE"/>
    <w:rsid w:val="00E979E6"/>
    <w:rsid w:val="00EA1525"/>
    <w:rsid w:val="00EA3797"/>
    <w:rsid w:val="00EA3849"/>
    <w:rsid w:val="00EA5538"/>
    <w:rsid w:val="00EA5915"/>
    <w:rsid w:val="00EA690D"/>
    <w:rsid w:val="00EA6E4C"/>
    <w:rsid w:val="00EA74DC"/>
    <w:rsid w:val="00EA7E07"/>
    <w:rsid w:val="00EB04DB"/>
    <w:rsid w:val="00EB10A3"/>
    <w:rsid w:val="00EB1344"/>
    <w:rsid w:val="00EB1936"/>
    <w:rsid w:val="00EB279C"/>
    <w:rsid w:val="00EB5455"/>
    <w:rsid w:val="00EB6C87"/>
    <w:rsid w:val="00EB7B6A"/>
    <w:rsid w:val="00EB7FDD"/>
    <w:rsid w:val="00EC0777"/>
    <w:rsid w:val="00EC0B56"/>
    <w:rsid w:val="00EC363B"/>
    <w:rsid w:val="00EC6D06"/>
    <w:rsid w:val="00ED0024"/>
    <w:rsid w:val="00ED05FC"/>
    <w:rsid w:val="00ED0B32"/>
    <w:rsid w:val="00ED1DE2"/>
    <w:rsid w:val="00ED28D1"/>
    <w:rsid w:val="00ED3745"/>
    <w:rsid w:val="00ED3D61"/>
    <w:rsid w:val="00ED3DD2"/>
    <w:rsid w:val="00ED41D8"/>
    <w:rsid w:val="00ED50C4"/>
    <w:rsid w:val="00ED5240"/>
    <w:rsid w:val="00ED5F6A"/>
    <w:rsid w:val="00ED67B7"/>
    <w:rsid w:val="00ED7A67"/>
    <w:rsid w:val="00ED7BBA"/>
    <w:rsid w:val="00EE167E"/>
    <w:rsid w:val="00EE1BAE"/>
    <w:rsid w:val="00EE332C"/>
    <w:rsid w:val="00EE531B"/>
    <w:rsid w:val="00EE54B7"/>
    <w:rsid w:val="00EE5762"/>
    <w:rsid w:val="00EE6570"/>
    <w:rsid w:val="00EE751C"/>
    <w:rsid w:val="00EF09C6"/>
    <w:rsid w:val="00EF0EBB"/>
    <w:rsid w:val="00EF19E0"/>
    <w:rsid w:val="00EF32AF"/>
    <w:rsid w:val="00EF411C"/>
    <w:rsid w:val="00EF41F0"/>
    <w:rsid w:val="00EF4767"/>
    <w:rsid w:val="00EF4BA3"/>
    <w:rsid w:val="00EF4F9B"/>
    <w:rsid w:val="00EF56A4"/>
    <w:rsid w:val="00EF59F1"/>
    <w:rsid w:val="00EF64D6"/>
    <w:rsid w:val="00EF7CCD"/>
    <w:rsid w:val="00F00956"/>
    <w:rsid w:val="00F010CD"/>
    <w:rsid w:val="00F013B8"/>
    <w:rsid w:val="00F017F1"/>
    <w:rsid w:val="00F01C62"/>
    <w:rsid w:val="00F01DD5"/>
    <w:rsid w:val="00F030B7"/>
    <w:rsid w:val="00F031DC"/>
    <w:rsid w:val="00F048DD"/>
    <w:rsid w:val="00F05001"/>
    <w:rsid w:val="00F051AC"/>
    <w:rsid w:val="00F05537"/>
    <w:rsid w:val="00F05AF0"/>
    <w:rsid w:val="00F05E9F"/>
    <w:rsid w:val="00F0723F"/>
    <w:rsid w:val="00F07CA0"/>
    <w:rsid w:val="00F10065"/>
    <w:rsid w:val="00F14B01"/>
    <w:rsid w:val="00F15E15"/>
    <w:rsid w:val="00F16853"/>
    <w:rsid w:val="00F16A07"/>
    <w:rsid w:val="00F1764C"/>
    <w:rsid w:val="00F207A7"/>
    <w:rsid w:val="00F217BE"/>
    <w:rsid w:val="00F21A0A"/>
    <w:rsid w:val="00F242F5"/>
    <w:rsid w:val="00F269D8"/>
    <w:rsid w:val="00F2769D"/>
    <w:rsid w:val="00F3078E"/>
    <w:rsid w:val="00F31007"/>
    <w:rsid w:val="00F3106A"/>
    <w:rsid w:val="00F32480"/>
    <w:rsid w:val="00F3294D"/>
    <w:rsid w:val="00F32D36"/>
    <w:rsid w:val="00F33727"/>
    <w:rsid w:val="00F3441B"/>
    <w:rsid w:val="00F344B2"/>
    <w:rsid w:val="00F35723"/>
    <w:rsid w:val="00F3583A"/>
    <w:rsid w:val="00F35C37"/>
    <w:rsid w:val="00F36097"/>
    <w:rsid w:val="00F37BA2"/>
    <w:rsid w:val="00F40041"/>
    <w:rsid w:val="00F401B3"/>
    <w:rsid w:val="00F42481"/>
    <w:rsid w:val="00F42920"/>
    <w:rsid w:val="00F4346C"/>
    <w:rsid w:val="00F43B36"/>
    <w:rsid w:val="00F45914"/>
    <w:rsid w:val="00F464ED"/>
    <w:rsid w:val="00F46BAA"/>
    <w:rsid w:val="00F46C2C"/>
    <w:rsid w:val="00F47CA8"/>
    <w:rsid w:val="00F50184"/>
    <w:rsid w:val="00F504DB"/>
    <w:rsid w:val="00F50E01"/>
    <w:rsid w:val="00F545BD"/>
    <w:rsid w:val="00F54B12"/>
    <w:rsid w:val="00F559B4"/>
    <w:rsid w:val="00F55F65"/>
    <w:rsid w:val="00F55FDD"/>
    <w:rsid w:val="00F568AA"/>
    <w:rsid w:val="00F569FB"/>
    <w:rsid w:val="00F579C8"/>
    <w:rsid w:val="00F57C06"/>
    <w:rsid w:val="00F6049B"/>
    <w:rsid w:val="00F60BB4"/>
    <w:rsid w:val="00F60F44"/>
    <w:rsid w:val="00F634C7"/>
    <w:rsid w:val="00F658A0"/>
    <w:rsid w:val="00F65C83"/>
    <w:rsid w:val="00F65D1A"/>
    <w:rsid w:val="00F65E00"/>
    <w:rsid w:val="00F65E05"/>
    <w:rsid w:val="00F66759"/>
    <w:rsid w:val="00F71AEB"/>
    <w:rsid w:val="00F71EFC"/>
    <w:rsid w:val="00F74B12"/>
    <w:rsid w:val="00F74C07"/>
    <w:rsid w:val="00F80517"/>
    <w:rsid w:val="00F80AAF"/>
    <w:rsid w:val="00F81D72"/>
    <w:rsid w:val="00F8313D"/>
    <w:rsid w:val="00F8322E"/>
    <w:rsid w:val="00F834BF"/>
    <w:rsid w:val="00F84620"/>
    <w:rsid w:val="00F84914"/>
    <w:rsid w:val="00F84CCA"/>
    <w:rsid w:val="00F8653F"/>
    <w:rsid w:val="00F86925"/>
    <w:rsid w:val="00F86BF1"/>
    <w:rsid w:val="00F8763F"/>
    <w:rsid w:val="00F9136D"/>
    <w:rsid w:val="00F91FC2"/>
    <w:rsid w:val="00F9227A"/>
    <w:rsid w:val="00F93686"/>
    <w:rsid w:val="00F94220"/>
    <w:rsid w:val="00F945FB"/>
    <w:rsid w:val="00F94AAD"/>
    <w:rsid w:val="00F94F5D"/>
    <w:rsid w:val="00F95851"/>
    <w:rsid w:val="00F9768D"/>
    <w:rsid w:val="00FA1835"/>
    <w:rsid w:val="00FA21EB"/>
    <w:rsid w:val="00FA301A"/>
    <w:rsid w:val="00FA39E8"/>
    <w:rsid w:val="00FA56BC"/>
    <w:rsid w:val="00FA6834"/>
    <w:rsid w:val="00FB00BA"/>
    <w:rsid w:val="00FB161D"/>
    <w:rsid w:val="00FB1687"/>
    <w:rsid w:val="00FB24BF"/>
    <w:rsid w:val="00FB36A9"/>
    <w:rsid w:val="00FB4ABE"/>
    <w:rsid w:val="00FB7C1D"/>
    <w:rsid w:val="00FC0CA5"/>
    <w:rsid w:val="00FC2F5B"/>
    <w:rsid w:val="00FC3578"/>
    <w:rsid w:val="00FC3B57"/>
    <w:rsid w:val="00FC4340"/>
    <w:rsid w:val="00FC4CD7"/>
    <w:rsid w:val="00FC5437"/>
    <w:rsid w:val="00FC5819"/>
    <w:rsid w:val="00FC6304"/>
    <w:rsid w:val="00FD055E"/>
    <w:rsid w:val="00FD0BC7"/>
    <w:rsid w:val="00FD152C"/>
    <w:rsid w:val="00FD1B16"/>
    <w:rsid w:val="00FD225B"/>
    <w:rsid w:val="00FD3A8C"/>
    <w:rsid w:val="00FD4839"/>
    <w:rsid w:val="00FD4C2A"/>
    <w:rsid w:val="00FD5456"/>
    <w:rsid w:val="00FD5A7C"/>
    <w:rsid w:val="00FD642E"/>
    <w:rsid w:val="00FD765A"/>
    <w:rsid w:val="00FE0044"/>
    <w:rsid w:val="00FE0AFF"/>
    <w:rsid w:val="00FE20A3"/>
    <w:rsid w:val="00FE37F2"/>
    <w:rsid w:val="00FE3ECB"/>
    <w:rsid w:val="00FE4B65"/>
    <w:rsid w:val="00FE6E36"/>
    <w:rsid w:val="00FF0174"/>
    <w:rsid w:val="00FF0769"/>
    <w:rsid w:val="00FF09AB"/>
    <w:rsid w:val="00FF264F"/>
    <w:rsid w:val="00FF29A2"/>
    <w:rsid w:val="00FF3005"/>
    <w:rsid w:val="00FF3421"/>
    <w:rsid w:val="00FF48AD"/>
    <w:rsid w:val="00FF4A5F"/>
    <w:rsid w:val="00FF671E"/>
    <w:rsid w:val="00FF68F3"/>
    <w:rsid w:val="00FF729E"/>
    <w:rsid w:val="00FF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267ECE"/>
  <w15:docId w15:val="{49871D83-2665-45A8-9E24-1F461F61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A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A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A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A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0A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0A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0A9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90A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A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A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A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90A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90A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90A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90A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90A9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90A9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90A99"/>
    <w:pPr>
      <w:spacing w:line="240" w:lineRule="auto"/>
    </w:pPr>
    <w:rPr>
      <w:b/>
      <w:bCs/>
      <w:color w:val="4F81BD" w:themeColor="accent1"/>
      <w:sz w:val="18"/>
      <w:szCs w:val="18"/>
    </w:rPr>
  </w:style>
  <w:style w:type="paragraph" w:styleId="Title">
    <w:name w:val="Title"/>
    <w:basedOn w:val="Normal"/>
    <w:next w:val="Normal"/>
    <w:link w:val="TitleChar"/>
    <w:uiPriority w:val="10"/>
    <w:qFormat/>
    <w:rsid w:val="00190A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0A9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90A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0A9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90A99"/>
    <w:rPr>
      <w:b/>
      <w:bCs/>
    </w:rPr>
  </w:style>
  <w:style w:type="character" w:styleId="Emphasis">
    <w:name w:val="Emphasis"/>
    <w:basedOn w:val="DefaultParagraphFont"/>
    <w:uiPriority w:val="20"/>
    <w:qFormat/>
    <w:rsid w:val="00190A99"/>
    <w:rPr>
      <w:i/>
      <w:iCs/>
    </w:rPr>
  </w:style>
  <w:style w:type="paragraph" w:styleId="NoSpacing">
    <w:name w:val="No Spacing"/>
    <w:link w:val="NoSpacingChar"/>
    <w:uiPriority w:val="1"/>
    <w:qFormat/>
    <w:rsid w:val="00190A99"/>
    <w:pPr>
      <w:spacing w:after="0" w:line="240" w:lineRule="auto"/>
    </w:pPr>
  </w:style>
  <w:style w:type="character" w:customStyle="1" w:styleId="NoSpacingChar">
    <w:name w:val="No Spacing Char"/>
    <w:basedOn w:val="DefaultParagraphFont"/>
    <w:link w:val="NoSpacing"/>
    <w:uiPriority w:val="1"/>
    <w:rsid w:val="00FF09AB"/>
  </w:style>
  <w:style w:type="paragraph" w:styleId="ListParagraph">
    <w:name w:val="List Paragraph"/>
    <w:basedOn w:val="Normal"/>
    <w:uiPriority w:val="34"/>
    <w:qFormat/>
    <w:rsid w:val="00190A99"/>
    <w:pPr>
      <w:ind w:left="720"/>
      <w:contextualSpacing/>
    </w:pPr>
  </w:style>
  <w:style w:type="paragraph" w:styleId="Quote">
    <w:name w:val="Quote"/>
    <w:basedOn w:val="Normal"/>
    <w:next w:val="Normal"/>
    <w:link w:val="QuoteChar"/>
    <w:uiPriority w:val="29"/>
    <w:qFormat/>
    <w:rsid w:val="00190A99"/>
    <w:rPr>
      <w:i/>
      <w:iCs/>
      <w:color w:val="000000" w:themeColor="text1"/>
    </w:rPr>
  </w:style>
  <w:style w:type="character" w:customStyle="1" w:styleId="QuoteChar">
    <w:name w:val="Quote Char"/>
    <w:basedOn w:val="DefaultParagraphFont"/>
    <w:link w:val="Quote"/>
    <w:uiPriority w:val="29"/>
    <w:rsid w:val="00190A99"/>
    <w:rPr>
      <w:i/>
      <w:iCs/>
      <w:color w:val="000000" w:themeColor="text1"/>
    </w:rPr>
  </w:style>
  <w:style w:type="paragraph" w:styleId="IntenseQuote">
    <w:name w:val="Intense Quote"/>
    <w:basedOn w:val="Normal"/>
    <w:next w:val="Normal"/>
    <w:link w:val="IntenseQuoteChar"/>
    <w:uiPriority w:val="30"/>
    <w:qFormat/>
    <w:rsid w:val="00190A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0A99"/>
    <w:rPr>
      <w:b/>
      <w:bCs/>
      <w:i/>
      <w:iCs/>
      <w:color w:val="4F81BD" w:themeColor="accent1"/>
    </w:rPr>
  </w:style>
  <w:style w:type="character" w:styleId="SubtleEmphasis">
    <w:name w:val="Subtle Emphasis"/>
    <w:basedOn w:val="DefaultParagraphFont"/>
    <w:uiPriority w:val="19"/>
    <w:qFormat/>
    <w:rsid w:val="00190A99"/>
    <w:rPr>
      <w:i/>
      <w:iCs/>
      <w:color w:val="808080" w:themeColor="text1" w:themeTint="7F"/>
    </w:rPr>
  </w:style>
  <w:style w:type="character" w:styleId="IntenseEmphasis">
    <w:name w:val="Intense Emphasis"/>
    <w:basedOn w:val="DefaultParagraphFont"/>
    <w:uiPriority w:val="21"/>
    <w:qFormat/>
    <w:rsid w:val="00190A99"/>
    <w:rPr>
      <w:b/>
      <w:bCs/>
      <w:i/>
      <w:iCs/>
      <w:color w:val="4F81BD" w:themeColor="accent1"/>
    </w:rPr>
  </w:style>
  <w:style w:type="character" w:styleId="SubtleReference">
    <w:name w:val="Subtle Reference"/>
    <w:basedOn w:val="DefaultParagraphFont"/>
    <w:uiPriority w:val="31"/>
    <w:qFormat/>
    <w:rsid w:val="00190A99"/>
    <w:rPr>
      <w:smallCaps/>
      <w:color w:val="C0504D" w:themeColor="accent2"/>
      <w:u w:val="single"/>
    </w:rPr>
  </w:style>
  <w:style w:type="character" w:styleId="IntenseReference">
    <w:name w:val="Intense Reference"/>
    <w:basedOn w:val="DefaultParagraphFont"/>
    <w:uiPriority w:val="32"/>
    <w:qFormat/>
    <w:rsid w:val="00190A99"/>
    <w:rPr>
      <w:b/>
      <w:bCs/>
      <w:smallCaps/>
      <w:color w:val="C0504D" w:themeColor="accent2"/>
      <w:spacing w:val="5"/>
      <w:u w:val="single"/>
    </w:rPr>
  </w:style>
  <w:style w:type="character" w:styleId="BookTitle">
    <w:name w:val="Book Title"/>
    <w:basedOn w:val="DefaultParagraphFont"/>
    <w:uiPriority w:val="33"/>
    <w:qFormat/>
    <w:rsid w:val="00190A99"/>
    <w:rPr>
      <w:b/>
      <w:bCs/>
      <w:smallCaps/>
      <w:spacing w:val="5"/>
    </w:rPr>
  </w:style>
  <w:style w:type="paragraph" w:styleId="TOCHeading">
    <w:name w:val="TOC Heading"/>
    <w:basedOn w:val="Heading1"/>
    <w:next w:val="Normal"/>
    <w:uiPriority w:val="39"/>
    <w:unhideWhenUsed/>
    <w:qFormat/>
    <w:rsid w:val="00190A99"/>
    <w:pPr>
      <w:outlineLvl w:val="9"/>
    </w:pPr>
  </w:style>
  <w:style w:type="paragraph" w:styleId="Header">
    <w:name w:val="header"/>
    <w:basedOn w:val="Normal"/>
    <w:link w:val="HeaderChar"/>
    <w:uiPriority w:val="99"/>
    <w:unhideWhenUsed/>
    <w:rsid w:val="00190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99"/>
  </w:style>
  <w:style w:type="paragraph" w:styleId="Footer">
    <w:name w:val="footer"/>
    <w:basedOn w:val="Normal"/>
    <w:link w:val="FooterChar"/>
    <w:uiPriority w:val="99"/>
    <w:unhideWhenUsed/>
    <w:rsid w:val="00190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99"/>
  </w:style>
  <w:style w:type="paragraph" w:styleId="BalloonText">
    <w:name w:val="Balloon Text"/>
    <w:basedOn w:val="Normal"/>
    <w:link w:val="BalloonTextChar"/>
    <w:uiPriority w:val="99"/>
    <w:semiHidden/>
    <w:unhideWhenUsed/>
    <w:rsid w:val="00190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A99"/>
    <w:rPr>
      <w:rFonts w:ascii="Tahoma" w:hAnsi="Tahoma" w:cs="Tahoma"/>
      <w:sz w:val="16"/>
      <w:szCs w:val="16"/>
    </w:rPr>
  </w:style>
  <w:style w:type="table" w:styleId="TableGrid">
    <w:name w:val="Table Grid"/>
    <w:basedOn w:val="TableNormal"/>
    <w:uiPriority w:val="59"/>
    <w:rsid w:val="0008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A0C65"/>
    <w:pPr>
      <w:spacing w:after="0" w:line="240" w:lineRule="auto"/>
    </w:pPr>
    <w:rPr>
      <w:sz w:val="20"/>
      <w:szCs w:val="20"/>
    </w:rPr>
  </w:style>
  <w:style w:type="character" w:customStyle="1" w:styleId="FootnoteTextChar">
    <w:name w:val="Footnote Text Char"/>
    <w:basedOn w:val="DefaultParagraphFont"/>
    <w:link w:val="FootnoteText"/>
    <w:uiPriority w:val="99"/>
    <w:rsid w:val="004A0C65"/>
    <w:rPr>
      <w:sz w:val="20"/>
      <w:szCs w:val="20"/>
    </w:rPr>
  </w:style>
  <w:style w:type="character" w:styleId="FootnoteReference">
    <w:name w:val="footnote reference"/>
    <w:basedOn w:val="DefaultParagraphFont"/>
    <w:uiPriority w:val="99"/>
    <w:semiHidden/>
    <w:unhideWhenUsed/>
    <w:rsid w:val="004A0C65"/>
    <w:rPr>
      <w:vertAlign w:val="superscript"/>
    </w:rPr>
  </w:style>
  <w:style w:type="character" w:styleId="CommentReference">
    <w:name w:val="annotation reference"/>
    <w:basedOn w:val="DefaultParagraphFont"/>
    <w:uiPriority w:val="99"/>
    <w:semiHidden/>
    <w:unhideWhenUsed/>
    <w:rsid w:val="002A7E6C"/>
    <w:rPr>
      <w:sz w:val="16"/>
      <w:szCs w:val="16"/>
    </w:rPr>
  </w:style>
  <w:style w:type="paragraph" w:styleId="CommentText">
    <w:name w:val="annotation text"/>
    <w:basedOn w:val="Normal"/>
    <w:link w:val="CommentTextChar"/>
    <w:uiPriority w:val="99"/>
    <w:unhideWhenUsed/>
    <w:rsid w:val="002A7E6C"/>
    <w:pPr>
      <w:spacing w:line="240" w:lineRule="auto"/>
    </w:pPr>
    <w:rPr>
      <w:sz w:val="20"/>
      <w:szCs w:val="20"/>
    </w:rPr>
  </w:style>
  <w:style w:type="character" w:customStyle="1" w:styleId="CommentTextChar">
    <w:name w:val="Comment Text Char"/>
    <w:basedOn w:val="DefaultParagraphFont"/>
    <w:link w:val="CommentText"/>
    <w:uiPriority w:val="99"/>
    <w:rsid w:val="002A7E6C"/>
    <w:rPr>
      <w:sz w:val="20"/>
      <w:szCs w:val="20"/>
    </w:rPr>
  </w:style>
  <w:style w:type="paragraph" w:styleId="CommentSubject">
    <w:name w:val="annotation subject"/>
    <w:basedOn w:val="CommentText"/>
    <w:next w:val="CommentText"/>
    <w:link w:val="CommentSubjectChar"/>
    <w:uiPriority w:val="99"/>
    <w:semiHidden/>
    <w:unhideWhenUsed/>
    <w:rsid w:val="002A7E6C"/>
    <w:rPr>
      <w:b/>
      <w:bCs/>
    </w:rPr>
  </w:style>
  <w:style w:type="character" w:customStyle="1" w:styleId="CommentSubjectChar">
    <w:name w:val="Comment Subject Char"/>
    <w:basedOn w:val="CommentTextChar"/>
    <w:link w:val="CommentSubject"/>
    <w:uiPriority w:val="99"/>
    <w:semiHidden/>
    <w:rsid w:val="002A7E6C"/>
    <w:rPr>
      <w:b/>
      <w:bCs/>
      <w:sz w:val="20"/>
      <w:szCs w:val="20"/>
    </w:rPr>
  </w:style>
  <w:style w:type="character" w:styleId="Hyperlink">
    <w:name w:val="Hyperlink"/>
    <w:basedOn w:val="DefaultParagraphFont"/>
    <w:uiPriority w:val="99"/>
    <w:unhideWhenUsed/>
    <w:rsid w:val="001C4D3C"/>
    <w:rPr>
      <w:color w:val="0000FF"/>
      <w:u w:val="single"/>
    </w:rPr>
  </w:style>
  <w:style w:type="character" w:styleId="FollowedHyperlink">
    <w:name w:val="FollowedHyperlink"/>
    <w:basedOn w:val="DefaultParagraphFont"/>
    <w:uiPriority w:val="99"/>
    <w:semiHidden/>
    <w:unhideWhenUsed/>
    <w:rsid w:val="001C4D3C"/>
    <w:rPr>
      <w:color w:val="800080" w:themeColor="followedHyperlink"/>
      <w:u w:val="single"/>
    </w:rPr>
  </w:style>
  <w:style w:type="paragraph" w:customStyle="1" w:styleId="DecimalAligned">
    <w:name w:val="Decimal Aligned"/>
    <w:basedOn w:val="Normal"/>
    <w:uiPriority w:val="40"/>
    <w:qFormat/>
    <w:rsid w:val="006862E6"/>
    <w:pPr>
      <w:tabs>
        <w:tab w:val="decimal" w:pos="360"/>
      </w:tabs>
    </w:pPr>
  </w:style>
  <w:style w:type="table" w:customStyle="1" w:styleId="LightShading-Accent11">
    <w:name w:val="Light Shading - Accent 11"/>
    <w:basedOn w:val="TableNormal"/>
    <w:uiPriority w:val="60"/>
    <w:rsid w:val="006862E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553134"/>
    <w:pPr>
      <w:spacing w:after="0" w:line="240" w:lineRule="auto"/>
    </w:pPr>
  </w:style>
  <w:style w:type="paragraph" w:styleId="NormalWeb">
    <w:name w:val="Normal (Web)"/>
    <w:basedOn w:val="Normal"/>
    <w:uiPriority w:val="99"/>
    <w:semiHidden/>
    <w:unhideWhenUsed/>
    <w:rsid w:val="000E0010"/>
    <w:pPr>
      <w:spacing w:before="100" w:beforeAutospacing="1" w:after="100" w:afterAutospacing="1" w:line="240" w:lineRule="auto"/>
    </w:pPr>
    <w:rPr>
      <w:rFonts w:ascii="Arial" w:eastAsia="Times New Roman" w:hAnsi="Arial" w:cs="Arial"/>
    </w:rPr>
  </w:style>
  <w:style w:type="character" w:styleId="UnresolvedMention">
    <w:name w:val="Unresolved Mention"/>
    <w:basedOn w:val="DefaultParagraphFont"/>
    <w:uiPriority w:val="99"/>
    <w:semiHidden/>
    <w:unhideWhenUsed/>
    <w:rsid w:val="00A66C31"/>
    <w:rPr>
      <w:color w:val="605E5C"/>
      <w:shd w:val="clear" w:color="auto" w:fill="E1DFDD"/>
    </w:rPr>
  </w:style>
  <w:style w:type="paragraph" w:styleId="TOC1">
    <w:name w:val="toc 1"/>
    <w:basedOn w:val="Normal"/>
    <w:next w:val="Normal"/>
    <w:autoRedefine/>
    <w:uiPriority w:val="39"/>
    <w:unhideWhenUsed/>
    <w:rsid w:val="009E64C8"/>
    <w:pPr>
      <w:tabs>
        <w:tab w:val="right" w:leader="dot" w:pos="10790"/>
      </w:tabs>
      <w:spacing w:after="100"/>
    </w:pPr>
  </w:style>
  <w:style w:type="paragraph" w:styleId="TOC2">
    <w:name w:val="toc 2"/>
    <w:basedOn w:val="Normal"/>
    <w:next w:val="Normal"/>
    <w:autoRedefine/>
    <w:uiPriority w:val="39"/>
    <w:unhideWhenUsed/>
    <w:rsid w:val="009E64C8"/>
    <w:pPr>
      <w:spacing w:after="100" w:line="259" w:lineRule="auto"/>
      <w:ind w:left="220"/>
    </w:pPr>
    <w:rPr>
      <w:rFonts w:cs="Times New Roman"/>
    </w:rPr>
  </w:style>
  <w:style w:type="paragraph" w:styleId="TOC3">
    <w:name w:val="toc 3"/>
    <w:basedOn w:val="Normal"/>
    <w:next w:val="Normal"/>
    <w:autoRedefine/>
    <w:uiPriority w:val="39"/>
    <w:unhideWhenUsed/>
    <w:rsid w:val="009E64C8"/>
    <w:pPr>
      <w:spacing w:after="100" w:line="259" w:lineRule="auto"/>
      <w:ind w:left="440"/>
    </w:pPr>
    <w:rPr>
      <w:rFonts w:cs="Times New Roman"/>
    </w:rPr>
  </w:style>
  <w:style w:type="paragraph" w:customStyle="1" w:styleId="Default">
    <w:name w:val="Default"/>
    <w:rsid w:val="005520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072">
      <w:bodyDiv w:val="1"/>
      <w:marLeft w:val="0"/>
      <w:marRight w:val="0"/>
      <w:marTop w:val="0"/>
      <w:marBottom w:val="0"/>
      <w:divBdr>
        <w:top w:val="none" w:sz="0" w:space="0" w:color="auto"/>
        <w:left w:val="none" w:sz="0" w:space="0" w:color="auto"/>
        <w:bottom w:val="none" w:sz="0" w:space="0" w:color="auto"/>
        <w:right w:val="none" w:sz="0" w:space="0" w:color="auto"/>
      </w:divBdr>
    </w:div>
    <w:div w:id="261376970">
      <w:bodyDiv w:val="1"/>
      <w:marLeft w:val="0"/>
      <w:marRight w:val="0"/>
      <w:marTop w:val="0"/>
      <w:marBottom w:val="0"/>
      <w:divBdr>
        <w:top w:val="none" w:sz="0" w:space="0" w:color="auto"/>
        <w:left w:val="none" w:sz="0" w:space="0" w:color="auto"/>
        <w:bottom w:val="none" w:sz="0" w:space="0" w:color="auto"/>
        <w:right w:val="none" w:sz="0" w:space="0" w:color="auto"/>
      </w:divBdr>
      <w:divsChild>
        <w:div w:id="2095780492">
          <w:marLeft w:val="0"/>
          <w:marRight w:val="0"/>
          <w:marTop w:val="0"/>
          <w:marBottom w:val="0"/>
          <w:divBdr>
            <w:top w:val="none" w:sz="0" w:space="0" w:color="auto"/>
            <w:left w:val="none" w:sz="0" w:space="0" w:color="auto"/>
            <w:bottom w:val="none" w:sz="0" w:space="0" w:color="auto"/>
            <w:right w:val="none" w:sz="0" w:space="0" w:color="auto"/>
          </w:divBdr>
          <w:divsChild>
            <w:div w:id="462696625">
              <w:marLeft w:val="0"/>
              <w:marRight w:val="0"/>
              <w:marTop w:val="0"/>
              <w:marBottom w:val="0"/>
              <w:divBdr>
                <w:top w:val="none" w:sz="0" w:space="0" w:color="auto"/>
                <w:left w:val="none" w:sz="0" w:space="0" w:color="auto"/>
                <w:bottom w:val="none" w:sz="0" w:space="0" w:color="auto"/>
                <w:right w:val="none" w:sz="0" w:space="0" w:color="auto"/>
              </w:divBdr>
              <w:divsChild>
                <w:div w:id="1178272495">
                  <w:marLeft w:val="0"/>
                  <w:marRight w:val="0"/>
                  <w:marTop w:val="0"/>
                  <w:marBottom w:val="0"/>
                  <w:divBdr>
                    <w:top w:val="none" w:sz="0" w:space="0" w:color="auto"/>
                    <w:left w:val="none" w:sz="0" w:space="0" w:color="auto"/>
                    <w:bottom w:val="none" w:sz="0" w:space="0" w:color="auto"/>
                    <w:right w:val="none" w:sz="0" w:space="0" w:color="auto"/>
                  </w:divBdr>
                  <w:divsChild>
                    <w:div w:id="2017028652">
                      <w:marLeft w:val="0"/>
                      <w:marRight w:val="0"/>
                      <w:marTop w:val="0"/>
                      <w:marBottom w:val="0"/>
                      <w:divBdr>
                        <w:top w:val="none" w:sz="0" w:space="0" w:color="auto"/>
                        <w:left w:val="none" w:sz="0" w:space="0" w:color="auto"/>
                        <w:bottom w:val="none" w:sz="0" w:space="0" w:color="auto"/>
                        <w:right w:val="none" w:sz="0" w:space="0" w:color="auto"/>
                      </w:divBdr>
                      <w:divsChild>
                        <w:div w:id="1275283714">
                          <w:marLeft w:val="0"/>
                          <w:marRight w:val="0"/>
                          <w:marTop w:val="0"/>
                          <w:marBottom w:val="0"/>
                          <w:divBdr>
                            <w:top w:val="none" w:sz="0" w:space="0" w:color="auto"/>
                            <w:left w:val="none" w:sz="0" w:space="0" w:color="auto"/>
                            <w:bottom w:val="none" w:sz="0" w:space="0" w:color="auto"/>
                            <w:right w:val="none" w:sz="0" w:space="0" w:color="auto"/>
                          </w:divBdr>
                          <w:divsChild>
                            <w:div w:id="1104880284">
                              <w:marLeft w:val="-225"/>
                              <w:marRight w:val="-225"/>
                              <w:marTop w:val="0"/>
                              <w:marBottom w:val="0"/>
                              <w:divBdr>
                                <w:top w:val="none" w:sz="0" w:space="0" w:color="auto"/>
                                <w:left w:val="none" w:sz="0" w:space="0" w:color="auto"/>
                                <w:bottom w:val="none" w:sz="0" w:space="0" w:color="auto"/>
                                <w:right w:val="none" w:sz="0" w:space="0" w:color="auto"/>
                              </w:divBdr>
                              <w:divsChild>
                                <w:div w:id="696462931">
                                  <w:marLeft w:val="0"/>
                                  <w:marRight w:val="0"/>
                                  <w:marTop w:val="0"/>
                                  <w:marBottom w:val="0"/>
                                  <w:divBdr>
                                    <w:top w:val="none" w:sz="0" w:space="0" w:color="auto"/>
                                    <w:left w:val="none" w:sz="0" w:space="0" w:color="auto"/>
                                    <w:bottom w:val="none" w:sz="0" w:space="0" w:color="auto"/>
                                    <w:right w:val="none" w:sz="0" w:space="0" w:color="auto"/>
                                  </w:divBdr>
                                  <w:divsChild>
                                    <w:div w:id="844512738">
                                      <w:marLeft w:val="0"/>
                                      <w:marRight w:val="0"/>
                                      <w:marTop w:val="0"/>
                                      <w:marBottom w:val="0"/>
                                      <w:divBdr>
                                        <w:top w:val="none" w:sz="0" w:space="0" w:color="auto"/>
                                        <w:left w:val="none" w:sz="0" w:space="0" w:color="auto"/>
                                        <w:bottom w:val="none" w:sz="0" w:space="0" w:color="auto"/>
                                        <w:right w:val="none" w:sz="0" w:space="0" w:color="auto"/>
                                      </w:divBdr>
                                      <w:divsChild>
                                        <w:div w:id="1234242015">
                                          <w:marLeft w:val="0"/>
                                          <w:marRight w:val="0"/>
                                          <w:marTop w:val="0"/>
                                          <w:marBottom w:val="0"/>
                                          <w:divBdr>
                                            <w:top w:val="none" w:sz="0" w:space="0" w:color="auto"/>
                                            <w:left w:val="none" w:sz="0" w:space="0" w:color="auto"/>
                                            <w:bottom w:val="none" w:sz="0" w:space="0" w:color="auto"/>
                                            <w:right w:val="none" w:sz="0" w:space="0" w:color="auto"/>
                                          </w:divBdr>
                                          <w:divsChild>
                                            <w:div w:id="1839880744">
                                              <w:marLeft w:val="0"/>
                                              <w:marRight w:val="0"/>
                                              <w:marTop w:val="150"/>
                                              <w:marBottom w:val="0"/>
                                              <w:divBdr>
                                                <w:top w:val="none" w:sz="0" w:space="0" w:color="auto"/>
                                                <w:left w:val="none" w:sz="0" w:space="0" w:color="auto"/>
                                                <w:bottom w:val="none" w:sz="0" w:space="0" w:color="auto"/>
                                                <w:right w:val="none" w:sz="0" w:space="0" w:color="auto"/>
                                              </w:divBdr>
                                              <w:divsChild>
                                                <w:div w:id="2396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195317">
      <w:bodyDiv w:val="1"/>
      <w:marLeft w:val="0"/>
      <w:marRight w:val="0"/>
      <w:marTop w:val="0"/>
      <w:marBottom w:val="0"/>
      <w:divBdr>
        <w:top w:val="none" w:sz="0" w:space="0" w:color="auto"/>
        <w:left w:val="none" w:sz="0" w:space="0" w:color="auto"/>
        <w:bottom w:val="none" w:sz="0" w:space="0" w:color="auto"/>
        <w:right w:val="none" w:sz="0" w:space="0" w:color="auto"/>
      </w:divBdr>
    </w:div>
    <w:div w:id="341586055">
      <w:bodyDiv w:val="1"/>
      <w:marLeft w:val="0"/>
      <w:marRight w:val="0"/>
      <w:marTop w:val="0"/>
      <w:marBottom w:val="0"/>
      <w:divBdr>
        <w:top w:val="none" w:sz="0" w:space="0" w:color="auto"/>
        <w:left w:val="none" w:sz="0" w:space="0" w:color="auto"/>
        <w:bottom w:val="none" w:sz="0" w:space="0" w:color="auto"/>
        <w:right w:val="none" w:sz="0" w:space="0" w:color="auto"/>
      </w:divBdr>
    </w:div>
    <w:div w:id="470634090">
      <w:bodyDiv w:val="1"/>
      <w:marLeft w:val="0"/>
      <w:marRight w:val="0"/>
      <w:marTop w:val="0"/>
      <w:marBottom w:val="0"/>
      <w:divBdr>
        <w:top w:val="none" w:sz="0" w:space="0" w:color="auto"/>
        <w:left w:val="none" w:sz="0" w:space="0" w:color="auto"/>
        <w:bottom w:val="none" w:sz="0" w:space="0" w:color="auto"/>
        <w:right w:val="none" w:sz="0" w:space="0" w:color="auto"/>
      </w:divBdr>
    </w:div>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633144969">
      <w:bodyDiv w:val="1"/>
      <w:marLeft w:val="0"/>
      <w:marRight w:val="0"/>
      <w:marTop w:val="0"/>
      <w:marBottom w:val="0"/>
      <w:divBdr>
        <w:top w:val="none" w:sz="0" w:space="0" w:color="auto"/>
        <w:left w:val="none" w:sz="0" w:space="0" w:color="auto"/>
        <w:bottom w:val="none" w:sz="0" w:space="0" w:color="auto"/>
        <w:right w:val="none" w:sz="0" w:space="0" w:color="auto"/>
      </w:divBdr>
    </w:div>
    <w:div w:id="637804445">
      <w:bodyDiv w:val="1"/>
      <w:marLeft w:val="0"/>
      <w:marRight w:val="0"/>
      <w:marTop w:val="0"/>
      <w:marBottom w:val="0"/>
      <w:divBdr>
        <w:top w:val="none" w:sz="0" w:space="0" w:color="auto"/>
        <w:left w:val="none" w:sz="0" w:space="0" w:color="auto"/>
        <w:bottom w:val="none" w:sz="0" w:space="0" w:color="auto"/>
        <w:right w:val="none" w:sz="0" w:space="0" w:color="auto"/>
      </w:divBdr>
    </w:div>
    <w:div w:id="695010729">
      <w:bodyDiv w:val="1"/>
      <w:marLeft w:val="0"/>
      <w:marRight w:val="0"/>
      <w:marTop w:val="0"/>
      <w:marBottom w:val="0"/>
      <w:divBdr>
        <w:top w:val="none" w:sz="0" w:space="0" w:color="auto"/>
        <w:left w:val="none" w:sz="0" w:space="0" w:color="auto"/>
        <w:bottom w:val="none" w:sz="0" w:space="0" w:color="auto"/>
        <w:right w:val="none" w:sz="0" w:space="0" w:color="auto"/>
      </w:divBdr>
    </w:div>
    <w:div w:id="768354892">
      <w:bodyDiv w:val="1"/>
      <w:marLeft w:val="0"/>
      <w:marRight w:val="0"/>
      <w:marTop w:val="0"/>
      <w:marBottom w:val="0"/>
      <w:divBdr>
        <w:top w:val="none" w:sz="0" w:space="0" w:color="auto"/>
        <w:left w:val="none" w:sz="0" w:space="0" w:color="auto"/>
        <w:bottom w:val="none" w:sz="0" w:space="0" w:color="auto"/>
        <w:right w:val="none" w:sz="0" w:space="0" w:color="auto"/>
      </w:divBdr>
    </w:div>
    <w:div w:id="997660152">
      <w:bodyDiv w:val="1"/>
      <w:marLeft w:val="0"/>
      <w:marRight w:val="0"/>
      <w:marTop w:val="0"/>
      <w:marBottom w:val="0"/>
      <w:divBdr>
        <w:top w:val="none" w:sz="0" w:space="0" w:color="auto"/>
        <w:left w:val="none" w:sz="0" w:space="0" w:color="auto"/>
        <w:bottom w:val="none" w:sz="0" w:space="0" w:color="auto"/>
        <w:right w:val="none" w:sz="0" w:space="0" w:color="auto"/>
      </w:divBdr>
    </w:div>
    <w:div w:id="1055541553">
      <w:bodyDiv w:val="1"/>
      <w:marLeft w:val="0"/>
      <w:marRight w:val="0"/>
      <w:marTop w:val="0"/>
      <w:marBottom w:val="0"/>
      <w:divBdr>
        <w:top w:val="none" w:sz="0" w:space="0" w:color="auto"/>
        <w:left w:val="none" w:sz="0" w:space="0" w:color="auto"/>
        <w:bottom w:val="none" w:sz="0" w:space="0" w:color="auto"/>
        <w:right w:val="none" w:sz="0" w:space="0" w:color="auto"/>
      </w:divBdr>
    </w:div>
    <w:div w:id="1099177214">
      <w:bodyDiv w:val="1"/>
      <w:marLeft w:val="0"/>
      <w:marRight w:val="0"/>
      <w:marTop w:val="0"/>
      <w:marBottom w:val="0"/>
      <w:divBdr>
        <w:top w:val="none" w:sz="0" w:space="0" w:color="auto"/>
        <w:left w:val="none" w:sz="0" w:space="0" w:color="auto"/>
        <w:bottom w:val="none" w:sz="0" w:space="0" w:color="auto"/>
        <w:right w:val="none" w:sz="0" w:space="0" w:color="auto"/>
      </w:divBdr>
    </w:div>
    <w:div w:id="1296568433">
      <w:bodyDiv w:val="1"/>
      <w:marLeft w:val="0"/>
      <w:marRight w:val="0"/>
      <w:marTop w:val="0"/>
      <w:marBottom w:val="0"/>
      <w:divBdr>
        <w:top w:val="none" w:sz="0" w:space="0" w:color="auto"/>
        <w:left w:val="none" w:sz="0" w:space="0" w:color="auto"/>
        <w:bottom w:val="none" w:sz="0" w:space="0" w:color="auto"/>
        <w:right w:val="none" w:sz="0" w:space="0" w:color="auto"/>
      </w:divBdr>
    </w:div>
    <w:div w:id="1379361142">
      <w:bodyDiv w:val="1"/>
      <w:marLeft w:val="0"/>
      <w:marRight w:val="0"/>
      <w:marTop w:val="0"/>
      <w:marBottom w:val="0"/>
      <w:divBdr>
        <w:top w:val="none" w:sz="0" w:space="0" w:color="auto"/>
        <w:left w:val="none" w:sz="0" w:space="0" w:color="auto"/>
        <w:bottom w:val="none" w:sz="0" w:space="0" w:color="auto"/>
        <w:right w:val="none" w:sz="0" w:space="0" w:color="auto"/>
      </w:divBdr>
    </w:div>
    <w:div w:id="1444881349">
      <w:bodyDiv w:val="1"/>
      <w:marLeft w:val="0"/>
      <w:marRight w:val="0"/>
      <w:marTop w:val="0"/>
      <w:marBottom w:val="0"/>
      <w:divBdr>
        <w:top w:val="none" w:sz="0" w:space="0" w:color="auto"/>
        <w:left w:val="none" w:sz="0" w:space="0" w:color="auto"/>
        <w:bottom w:val="none" w:sz="0" w:space="0" w:color="auto"/>
        <w:right w:val="none" w:sz="0" w:space="0" w:color="auto"/>
      </w:divBdr>
    </w:div>
    <w:div w:id="1449542006">
      <w:bodyDiv w:val="1"/>
      <w:marLeft w:val="0"/>
      <w:marRight w:val="0"/>
      <w:marTop w:val="0"/>
      <w:marBottom w:val="0"/>
      <w:divBdr>
        <w:top w:val="none" w:sz="0" w:space="0" w:color="auto"/>
        <w:left w:val="none" w:sz="0" w:space="0" w:color="auto"/>
        <w:bottom w:val="none" w:sz="0" w:space="0" w:color="auto"/>
        <w:right w:val="none" w:sz="0" w:space="0" w:color="auto"/>
      </w:divBdr>
    </w:div>
    <w:div w:id="1529181581">
      <w:bodyDiv w:val="1"/>
      <w:marLeft w:val="0"/>
      <w:marRight w:val="0"/>
      <w:marTop w:val="0"/>
      <w:marBottom w:val="0"/>
      <w:divBdr>
        <w:top w:val="none" w:sz="0" w:space="0" w:color="auto"/>
        <w:left w:val="none" w:sz="0" w:space="0" w:color="auto"/>
        <w:bottom w:val="none" w:sz="0" w:space="0" w:color="auto"/>
        <w:right w:val="none" w:sz="0" w:space="0" w:color="auto"/>
      </w:divBdr>
    </w:div>
    <w:div w:id="1539199696">
      <w:bodyDiv w:val="1"/>
      <w:marLeft w:val="0"/>
      <w:marRight w:val="0"/>
      <w:marTop w:val="0"/>
      <w:marBottom w:val="0"/>
      <w:divBdr>
        <w:top w:val="none" w:sz="0" w:space="0" w:color="auto"/>
        <w:left w:val="none" w:sz="0" w:space="0" w:color="auto"/>
        <w:bottom w:val="none" w:sz="0" w:space="0" w:color="auto"/>
        <w:right w:val="none" w:sz="0" w:space="0" w:color="auto"/>
      </w:divBdr>
    </w:div>
    <w:div w:id="1630475813">
      <w:bodyDiv w:val="1"/>
      <w:marLeft w:val="0"/>
      <w:marRight w:val="0"/>
      <w:marTop w:val="0"/>
      <w:marBottom w:val="0"/>
      <w:divBdr>
        <w:top w:val="none" w:sz="0" w:space="0" w:color="auto"/>
        <w:left w:val="none" w:sz="0" w:space="0" w:color="auto"/>
        <w:bottom w:val="none" w:sz="0" w:space="0" w:color="auto"/>
        <w:right w:val="none" w:sz="0" w:space="0" w:color="auto"/>
      </w:divBdr>
    </w:div>
    <w:div w:id="1710257361">
      <w:bodyDiv w:val="1"/>
      <w:marLeft w:val="0"/>
      <w:marRight w:val="0"/>
      <w:marTop w:val="0"/>
      <w:marBottom w:val="0"/>
      <w:divBdr>
        <w:top w:val="none" w:sz="0" w:space="0" w:color="auto"/>
        <w:left w:val="none" w:sz="0" w:space="0" w:color="auto"/>
        <w:bottom w:val="none" w:sz="0" w:space="0" w:color="auto"/>
        <w:right w:val="none" w:sz="0" w:space="0" w:color="auto"/>
      </w:divBdr>
    </w:div>
    <w:div w:id="1971010411">
      <w:bodyDiv w:val="1"/>
      <w:marLeft w:val="720"/>
      <w:marRight w:val="0"/>
      <w:marTop w:val="0"/>
      <w:marBottom w:val="0"/>
      <w:divBdr>
        <w:top w:val="none" w:sz="0" w:space="0" w:color="auto"/>
        <w:left w:val="none" w:sz="0" w:space="0" w:color="auto"/>
        <w:bottom w:val="none" w:sz="0" w:space="0" w:color="auto"/>
        <w:right w:val="none" w:sz="0" w:space="0" w:color="auto"/>
      </w:divBdr>
      <w:divsChild>
        <w:div w:id="2041781883">
          <w:marLeft w:val="75"/>
          <w:marRight w:val="75"/>
          <w:marTop w:val="75"/>
          <w:marBottom w:val="75"/>
          <w:divBdr>
            <w:top w:val="none" w:sz="0" w:space="0" w:color="auto"/>
            <w:left w:val="none" w:sz="0" w:space="0" w:color="auto"/>
            <w:bottom w:val="none" w:sz="0" w:space="0" w:color="auto"/>
            <w:right w:val="none" w:sz="0" w:space="0" w:color="auto"/>
          </w:divBdr>
          <w:divsChild>
            <w:div w:id="188875909">
              <w:marLeft w:val="0"/>
              <w:marRight w:val="0"/>
              <w:marTop w:val="0"/>
              <w:marBottom w:val="0"/>
              <w:divBdr>
                <w:top w:val="none" w:sz="0" w:space="0" w:color="auto"/>
                <w:left w:val="none" w:sz="0" w:space="0" w:color="auto"/>
                <w:bottom w:val="none" w:sz="0" w:space="0" w:color="auto"/>
                <w:right w:val="none" w:sz="0" w:space="0" w:color="auto"/>
              </w:divBdr>
              <w:divsChild>
                <w:div w:id="1081219354">
                  <w:marLeft w:val="0"/>
                  <w:marRight w:val="0"/>
                  <w:marTop w:val="0"/>
                  <w:marBottom w:val="0"/>
                  <w:divBdr>
                    <w:top w:val="none" w:sz="0" w:space="0" w:color="auto"/>
                    <w:left w:val="none" w:sz="0" w:space="0" w:color="auto"/>
                    <w:bottom w:val="none" w:sz="0" w:space="0" w:color="auto"/>
                    <w:right w:val="none" w:sz="0" w:space="0" w:color="auto"/>
                  </w:divBdr>
                  <w:divsChild>
                    <w:div w:id="12672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69550">
      <w:bodyDiv w:val="1"/>
      <w:marLeft w:val="0"/>
      <w:marRight w:val="0"/>
      <w:marTop w:val="0"/>
      <w:marBottom w:val="0"/>
      <w:divBdr>
        <w:top w:val="none" w:sz="0" w:space="0" w:color="auto"/>
        <w:left w:val="none" w:sz="0" w:space="0" w:color="auto"/>
        <w:bottom w:val="none" w:sz="0" w:space="0" w:color="auto"/>
        <w:right w:val="none" w:sz="0" w:space="0" w:color="auto"/>
      </w:divBdr>
    </w:div>
    <w:div w:id="2062752484">
      <w:bodyDiv w:val="1"/>
      <w:marLeft w:val="0"/>
      <w:marRight w:val="0"/>
      <w:marTop w:val="0"/>
      <w:marBottom w:val="0"/>
      <w:divBdr>
        <w:top w:val="none" w:sz="0" w:space="0" w:color="auto"/>
        <w:left w:val="none" w:sz="0" w:space="0" w:color="auto"/>
        <w:bottom w:val="none" w:sz="0" w:space="0" w:color="auto"/>
        <w:right w:val="none" w:sz="0" w:space="0" w:color="auto"/>
      </w:divBdr>
      <w:divsChild>
        <w:div w:id="388501788">
          <w:marLeft w:val="547"/>
          <w:marRight w:val="0"/>
          <w:marTop w:val="0"/>
          <w:marBottom w:val="0"/>
          <w:divBdr>
            <w:top w:val="none" w:sz="0" w:space="0" w:color="auto"/>
            <w:left w:val="none" w:sz="0" w:space="0" w:color="auto"/>
            <w:bottom w:val="none" w:sz="0" w:space="0" w:color="auto"/>
            <w:right w:val="none" w:sz="0" w:space="0" w:color="auto"/>
          </w:divBdr>
        </w:div>
      </w:divsChild>
    </w:div>
    <w:div w:id="2110081582">
      <w:bodyDiv w:val="1"/>
      <w:marLeft w:val="0"/>
      <w:marRight w:val="0"/>
      <w:marTop w:val="0"/>
      <w:marBottom w:val="0"/>
      <w:divBdr>
        <w:top w:val="none" w:sz="0" w:space="0" w:color="auto"/>
        <w:left w:val="none" w:sz="0" w:space="0" w:color="auto"/>
        <w:bottom w:val="none" w:sz="0" w:space="0" w:color="auto"/>
        <w:right w:val="none" w:sz="0" w:space="0" w:color="auto"/>
      </w:divBdr>
    </w:div>
    <w:div w:id="2141874495">
      <w:bodyDiv w:val="1"/>
      <w:marLeft w:val="0"/>
      <w:marRight w:val="0"/>
      <w:marTop w:val="0"/>
      <w:marBottom w:val="0"/>
      <w:divBdr>
        <w:top w:val="none" w:sz="0" w:space="0" w:color="auto"/>
        <w:left w:val="none" w:sz="0" w:space="0" w:color="auto"/>
        <w:bottom w:val="none" w:sz="0" w:space="0" w:color="auto"/>
        <w:right w:val="none" w:sz="0" w:space="0" w:color="auto"/>
      </w:divBdr>
      <w:divsChild>
        <w:div w:id="796802970">
          <w:marLeft w:val="0"/>
          <w:marRight w:val="0"/>
          <w:marTop w:val="0"/>
          <w:marBottom w:val="0"/>
          <w:divBdr>
            <w:top w:val="none" w:sz="0" w:space="0" w:color="auto"/>
            <w:left w:val="none" w:sz="0" w:space="0" w:color="auto"/>
            <w:bottom w:val="none" w:sz="0" w:space="0" w:color="auto"/>
            <w:right w:val="none" w:sz="0" w:space="0" w:color="auto"/>
          </w:divBdr>
          <w:divsChild>
            <w:div w:id="1724863718">
              <w:marLeft w:val="0"/>
              <w:marRight w:val="0"/>
              <w:marTop w:val="0"/>
              <w:marBottom w:val="0"/>
              <w:divBdr>
                <w:top w:val="none" w:sz="0" w:space="0" w:color="auto"/>
                <w:left w:val="none" w:sz="0" w:space="0" w:color="auto"/>
                <w:bottom w:val="none" w:sz="0" w:space="0" w:color="auto"/>
                <w:right w:val="none" w:sz="0" w:space="0" w:color="auto"/>
              </w:divBdr>
              <w:divsChild>
                <w:div w:id="490676743">
                  <w:marLeft w:val="0"/>
                  <w:marRight w:val="0"/>
                  <w:marTop w:val="0"/>
                  <w:marBottom w:val="0"/>
                  <w:divBdr>
                    <w:top w:val="none" w:sz="0" w:space="0" w:color="auto"/>
                    <w:left w:val="none" w:sz="0" w:space="0" w:color="auto"/>
                    <w:bottom w:val="none" w:sz="0" w:space="0" w:color="auto"/>
                    <w:right w:val="none" w:sz="0" w:space="0" w:color="auto"/>
                  </w:divBdr>
                  <w:divsChild>
                    <w:div w:id="174152588">
                      <w:marLeft w:val="0"/>
                      <w:marRight w:val="0"/>
                      <w:marTop w:val="0"/>
                      <w:marBottom w:val="0"/>
                      <w:divBdr>
                        <w:top w:val="none" w:sz="0" w:space="0" w:color="auto"/>
                        <w:left w:val="none" w:sz="0" w:space="0" w:color="auto"/>
                        <w:bottom w:val="none" w:sz="0" w:space="0" w:color="auto"/>
                        <w:right w:val="none" w:sz="0" w:space="0" w:color="auto"/>
                      </w:divBdr>
                      <w:divsChild>
                        <w:div w:id="1681196646">
                          <w:marLeft w:val="0"/>
                          <w:marRight w:val="0"/>
                          <w:marTop w:val="0"/>
                          <w:marBottom w:val="0"/>
                          <w:divBdr>
                            <w:top w:val="none" w:sz="0" w:space="0" w:color="auto"/>
                            <w:left w:val="none" w:sz="0" w:space="0" w:color="auto"/>
                            <w:bottom w:val="none" w:sz="0" w:space="0" w:color="auto"/>
                            <w:right w:val="none" w:sz="0" w:space="0" w:color="auto"/>
                          </w:divBdr>
                          <w:divsChild>
                            <w:div w:id="2058124546">
                              <w:marLeft w:val="-225"/>
                              <w:marRight w:val="-225"/>
                              <w:marTop w:val="0"/>
                              <w:marBottom w:val="0"/>
                              <w:divBdr>
                                <w:top w:val="none" w:sz="0" w:space="0" w:color="auto"/>
                                <w:left w:val="none" w:sz="0" w:space="0" w:color="auto"/>
                                <w:bottom w:val="none" w:sz="0" w:space="0" w:color="auto"/>
                                <w:right w:val="none" w:sz="0" w:space="0" w:color="auto"/>
                              </w:divBdr>
                              <w:divsChild>
                                <w:div w:id="970939358">
                                  <w:marLeft w:val="0"/>
                                  <w:marRight w:val="0"/>
                                  <w:marTop w:val="0"/>
                                  <w:marBottom w:val="0"/>
                                  <w:divBdr>
                                    <w:top w:val="none" w:sz="0" w:space="0" w:color="auto"/>
                                    <w:left w:val="none" w:sz="0" w:space="0" w:color="auto"/>
                                    <w:bottom w:val="none" w:sz="0" w:space="0" w:color="auto"/>
                                    <w:right w:val="none" w:sz="0" w:space="0" w:color="auto"/>
                                  </w:divBdr>
                                  <w:divsChild>
                                    <w:div w:id="634022184">
                                      <w:marLeft w:val="0"/>
                                      <w:marRight w:val="0"/>
                                      <w:marTop w:val="0"/>
                                      <w:marBottom w:val="0"/>
                                      <w:divBdr>
                                        <w:top w:val="none" w:sz="0" w:space="0" w:color="auto"/>
                                        <w:left w:val="none" w:sz="0" w:space="0" w:color="auto"/>
                                        <w:bottom w:val="none" w:sz="0" w:space="0" w:color="auto"/>
                                        <w:right w:val="none" w:sz="0" w:space="0" w:color="auto"/>
                                      </w:divBdr>
                                      <w:divsChild>
                                        <w:div w:id="1575895703">
                                          <w:marLeft w:val="0"/>
                                          <w:marRight w:val="0"/>
                                          <w:marTop w:val="0"/>
                                          <w:marBottom w:val="0"/>
                                          <w:divBdr>
                                            <w:top w:val="none" w:sz="0" w:space="0" w:color="auto"/>
                                            <w:left w:val="none" w:sz="0" w:space="0" w:color="auto"/>
                                            <w:bottom w:val="none" w:sz="0" w:space="0" w:color="auto"/>
                                            <w:right w:val="none" w:sz="0" w:space="0" w:color="auto"/>
                                          </w:divBdr>
                                          <w:divsChild>
                                            <w:div w:id="1159342515">
                                              <w:marLeft w:val="0"/>
                                              <w:marRight w:val="0"/>
                                              <w:marTop w:val="150"/>
                                              <w:marBottom w:val="0"/>
                                              <w:divBdr>
                                                <w:top w:val="none" w:sz="0" w:space="0" w:color="auto"/>
                                                <w:left w:val="none" w:sz="0" w:space="0" w:color="auto"/>
                                                <w:bottom w:val="none" w:sz="0" w:space="0" w:color="auto"/>
                                                <w:right w:val="none" w:sz="0" w:space="0" w:color="auto"/>
                                              </w:divBdr>
                                              <w:divsChild>
                                                <w:div w:id="72094353">
                                                  <w:marLeft w:val="0"/>
                                                  <w:marRight w:val="0"/>
                                                  <w:marTop w:val="0"/>
                                                  <w:marBottom w:val="0"/>
                                                  <w:divBdr>
                                                    <w:top w:val="none" w:sz="0" w:space="0" w:color="auto"/>
                                                    <w:left w:val="none" w:sz="0" w:space="0" w:color="auto"/>
                                                    <w:bottom w:val="none" w:sz="0" w:space="0" w:color="auto"/>
                                                    <w:right w:val="none" w:sz="0" w:space="0" w:color="auto"/>
                                                  </w:divBdr>
                                                  <w:divsChild>
                                                    <w:div w:id="596904604">
                                                      <w:marLeft w:val="0"/>
                                                      <w:marRight w:val="0"/>
                                                      <w:marTop w:val="0"/>
                                                      <w:marBottom w:val="0"/>
                                                      <w:divBdr>
                                                        <w:top w:val="none" w:sz="0" w:space="0" w:color="auto"/>
                                                        <w:left w:val="none" w:sz="0" w:space="0" w:color="auto"/>
                                                        <w:bottom w:val="none" w:sz="0" w:space="0" w:color="auto"/>
                                                        <w:right w:val="none" w:sz="0" w:space="0" w:color="auto"/>
                                                      </w:divBdr>
                                                      <w:divsChild>
                                                        <w:div w:id="474880616">
                                                          <w:marLeft w:val="0"/>
                                                          <w:marRight w:val="0"/>
                                                          <w:marTop w:val="0"/>
                                                          <w:marBottom w:val="0"/>
                                                          <w:divBdr>
                                                            <w:top w:val="none" w:sz="0" w:space="0" w:color="auto"/>
                                                            <w:left w:val="none" w:sz="0" w:space="0" w:color="auto"/>
                                                            <w:bottom w:val="none" w:sz="0" w:space="0" w:color="auto"/>
                                                            <w:right w:val="none" w:sz="0" w:space="0" w:color="auto"/>
                                                          </w:divBdr>
                                                          <w:divsChild>
                                                            <w:div w:id="3543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fhwfile01.ad.dot.gov\SHARED\FHFLHQ\Shared\Program%20Files\FLTP%20-%20WORKSPACE\InvestmentStrategies\2022\01_Guidance\FLMA%20Performance%20Management%20Template%20v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500" baseline="0">
                <a:solidFill>
                  <a:schemeClr val="tx1"/>
                </a:solidFill>
              </a:rPr>
              <a:t>Historical Pavement Conditions</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lineChart>
        <c:grouping val="standard"/>
        <c:varyColors val="0"/>
        <c:ser>
          <c:idx val="1"/>
          <c:order val="1"/>
          <c:tx>
            <c:v>Baseline Target</c:v>
          </c:tx>
          <c:spPr>
            <a:ln w="19050" cap="rnd">
              <a:solidFill>
                <a:srgbClr val="FF0000"/>
              </a:solidFill>
              <a:round/>
            </a:ln>
            <a:effectLst/>
          </c:spPr>
          <c:marker>
            <c:symbol val="none"/>
          </c:marker>
          <c:cat>
            <c:numRef>
              <c:f>'[FLMA Performance Management Template v3.xlsx]Example'!$L$11:$L$21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'[FLMA Performance Management Template v3.xlsx]Example'!$N$11:$N$21</c:f>
              <c:numCache>
                <c:formatCode>0%</c:formatCode>
                <c:ptCount val="11"/>
                <c:pt idx="0">
                  <c:v>0.85</c:v>
                </c:pt>
                <c:pt idx="1">
                  <c:v>0.85</c:v>
                </c:pt>
                <c:pt idx="2">
                  <c:v>0.85</c:v>
                </c:pt>
                <c:pt idx="3">
                  <c:v>0.85</c:v>
                </c:pt>
                <c:pt idx="4">
                  <c:v>0.85</c:v>
                </c:pt>
                <c:pt idx="5">
                  <c:v>0.85</c:v>
                </c:pt>
                <c:pt idx="6">
                  <c:v>0.85</c:v>
                </c:pt>
                <c:pt idx="7">
                  <c:v>0.85</c:v>
                </c:pt>
                <c:pt idx="8">
                  <c:v>0.85</c:v>
                </c:pt>
                <c:pt idx="9">
                  <c:v>0.85</c:v>
                </c:pt>
                <c:pt idx="10">
                  <c:v>0.85</c:v>
                </c:pt>
              </c:numCache>
            </c:numRef>
          </c:val>
          <c:smooth val="0"/>
          <c:extLst>
            <c:ext xmlns:c16="http://schemas.microsoft.com/office/drawing/2014/chart" uri="{C3380CC4-5D6E-409C-BE32-E72D297353CC}">
              <c16:uniqueId val="{00000000-0363-4A58-94D2-D062F0610D65}"/>
            </c:ext>
          </c:extLst>
        </c:ser>
        <c:dLbls>
          <c:showLegendKey val="0"/>
          <c:showVal val="0"/>
          <c:showCatName val="0"/>
          <c:showSerName val="0"/>
          <c:showPercent val="0"/>
          <c:showBubbleSize val="0"/>
        </c:dLbls>
        <c:marker val="1"/>
        <c:smooth val="0"/>
        <c:axId val="356783944"/>
        <c:axId val="356773776"/>
      </c:lineChart>
      <c:lineChart>
        <c:grouping val="standard"/>
        <c:varyColors val="0"/>
        <c:ser>
          <c:idx val="0"/>
          <c:order val="0"/>
          <c:tx>
            <c:v>Annualized Data</c:v>
          </c:tx>
          <c:spPr>
            <a:ln w="19050" cap="rnd">
              <a:solidFill>
                <a:srgbClr val="0070C0"/>
              </a:solidFill>
              <a:round/>
            </a:ln>
            <a:effectLst/>
          </c:spPr>
          <c:marker>
            <c:symbol val="none"/>
          </c:marker>
          <c:cat>
            <c:numRef>
              <c:f>'[FLMA Performance Management Template v3.xlsx]Example'!$L$11:$L$21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'[FLMA Performance Management Template v3.xlsx]Example'!$M$11:$M$21</c:f>
              <c:numCache>
                <c:formatCode>0%</c:formatCode>
                <c:ptCount val="11"/>
                <c:pt idx="0">
                  <c:v>0.54800000000000004</c:v>
                </c:pt>
                <c:pt idx="1">
                  <c:v>0.71099999999999997</c:v>
                </c:pt>
                <c:pt idx="2">
                  <c:v>0.78400000000000003</c:v>
                </c:pt>
                <c:pt idx="3">
                  <c:v>0.77700000000000002</c:v>
                </c:pt>
                <c:pt idx="4">
                  <c:v>0.77300000000000002</c:v>
                </c:pt>
                <c:pt idx="5">
                  <c:v>0.77599999999999991</c:v>
                </c:pt>
                <c:pt idx="6">
                  <c:v>0.78900000000000003</c:v>
                </c:pt>
                <c:pt idx="7">
                  <c:v>0.8</c:v>
                </c:pt>
                <c:pt idx="8">
                  <c:v>0.80200000000000005</c:v>
                </c:pt>
                <c:pt idx="9">
                  <c:v>0.79700000000000004</c:v>
                </c:pt>
                <c:pt idx="10">
                  <c:v>0.8</c:v>
                </c:pt>
              </c:numCache>
            </c:numRef>
          </c:val>
          <c:smooth val="0"/>
          <c:extLst>
            <c:ext xmlns:c16="http://schemas.microsoft.com/office/drawing/2014/chart" uri="{C3380CC4-5D6E-409C-BE32-E72D297353CC}">
              <c16:uniqueId val="{00000001-0363-4A58-94D2-D062F0610D65}"/>
            </c:ext>
          </c:extLst>
        </c:ser>
        <c:dLbls>
          <c:showLegendKey val="0"/>
          <c:showVal val="0"/>
          <c:showCatName val="0"/>
          <c:showSerName val="0"/>
          <c:showPercent val="0"/>
          <c:showBubbleSize val="0"/>
        </c:dLbls>
        <c:marker val="1"/>
        <c:smooth val="0"/>
        <c:axId val="356791488"/>
        <c:axId val="356787224"/>
      </c:lineChart>
      <c:catAx>
        <c:axId val="35678394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Fiscal</a:t>
                </a:r>
                <a:r>
                  <a:rPr lang="en-US" baseline="0"/>
                  <a:t> Years</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773776"/>
        <c:crosses val="autoZero"/>
        <c:auto val="1"/>
        <c:lblAlgn val="ctr"/>
        <c:lblOffset val="100"/>
        <c:noMultiLvlLbl val="0"/>
      </c:catAx>
      <c:valAx>
        <c:axId val="356773776"/>
        <c:scaling>
          <c:orientation val="minMax"/>
          <c:max val="1"/>
          <c:min val="0"/>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783944"/>
        <c:crosses val="autoZero"/>
        <c:crossBetween val="between"/>
        <c:minorUnit val="1.0000000000000002E-2"/>
      </c:valAx>
      <c:valAx>
        <c:axId val="356787224"/>
        <c:scaling>
          <c:orientation val="minMax"/>
          <c:max val="1"/>
        </c:scaling>
        <c:delete val="0"/>
        <c:axPos val="r"/>
        <c:minorGridlines>
          <c:spPr>
            <a:ln>
              <a:solidFill>
                <a:schemeClr val="tx1">
                  <a:lumMod val="5000"/>
                  <a:lumOff val="95000"/>
                </a:schemeClr>
              </a:solidFill>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791488"/>
        <c:crosses val="max"/>
        <c:crossBetween val="between"/>
      </c:valAx>
      <c:catAx>
        <c:axId val="356791488"/>
        <c:scaling>
          <c:orientation val="minMax"/>
        </c:scaling>
        <c:delete val="1"/>
        <c:axPos val="b"/>
        <c:numFmt formatCode="General" sourceLinked="1"/>
        <c:majorTickMark val="none"/>
        <c:minorTickMark val="none"/>
        <c:tickLblPos val="nextTo"/>
        <c:crossAx val="3567872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9E816-4E6A-406E-A2B3-89DF42D1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3650</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Richter</dc:creator>
  <cp:lastModifiedBy>Johnson, Scott (FHWA)</cp:lastModifiedBy>
  <cp:revision>2</cp:revision>
  <cp:lastPrinted>2021-09-23T12:14:00Z</cp:lastPrinted>
  <dcterms:created xsi:type="dcterms:W3CDTF">2025-02-06T20:51:00Z</dcterms:created>
  <dcterms:modified xsi:type="dcterms:W3CDTF">2025-02-06T20:51:00Z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117295334</vt:i4>
  </property>
</Properties>
</file>