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A1E6" w14:textId="20F306EA" w:rsidR="00CB6925" w:rsidRDefault="00CB6925" w:rsidP="00CB6925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>SECTION 7</w:t>
      </w:r>
      <w:r w:rsidR="00166DCF">
        <w:rPr>
          <w:i/>
          <w:iCs/>
          <w:vanish/>
          <w:highlight w:val="yellow"/>
        </w:rPr>
        <w:t>14</w:t>
      </w:r>
      <w:r>
        <w:rPr>
          <w:i/>
          <w:iCs/>
          <w:vanish/>
          <w:highlight w:val="yellow"/>
        </w:rPr>
        <w:t xml:space="preserve"> </w:t>
      </w:r>
      <w:r w:rsidR="00166DCF">
        <w:rPr>
          <w:i/>
          <w:iCs/>
          <w:vanish/>
          <w:highlight w:val="yellow"/>
        </w:rPr>
        <w:t>FOR PROJECTS WITH WORK THAT REQUIRES GEO</w:t>
      </w:r>
      <w:r w:rsidR="00341DE5">
        <w:rPr>
          <w:i/>
          <w:iCs/>
          <w:vanish/>
          <w:highlight w:val="yellow"/>
        </w:rPr>
        <w:t>SYNTHETIC</w:t>
      </w:r>
      <w:r w:rsidR="00166DCF">
        <w:rPr>
          <w:i/>
          <w:iCs/>
          <w:vanish/>
          <w:highlight w:val="yellow"/>
        </w:rPr>
        <w:t xml:space="preserve"> </w:t>
      </w:r>
      <w:r w:rsidR="001B7071">
        <w:rPr>
          <w:i/>
          <w:iCs/>
          <w:vanish/>
          <w:highlight w:val="yellow"/>
        </w:rPr>
        <w:t>MATERIAL</w:t>
      </w:r>
      <w:r w:rsidR="00E50028">
        <w:rPr>
          <w:i/>
          <w:iCs/>
          <w:vanish/>
          <w:highlight w:val="yellow"/>
        </w:rPr>
        <w:t xml:space="preserve"> AND</w:t>
      </w:r>
      <w:r w:rsidRPr="00224F6B">
        <w:rPr>
          <w:i/>
          <w:vanish/>
          <w:highlight w:val="yellow"/>
        </w:rPr>
        <w:t xml:space="preserve"> BASED ON CLAUSE INSTRUCTIONS</w:t>
      </w:r>
    </w:p>
    <w:p w14:paraId="4B748BC6" w14:textId="47280E60" w:rsidR="00973AE9" w:rsidRPr="005A1D95" w:rsidRDefault="00973AE9" w:rsidP="00F71A4D">
      <w:pPr>
        <w:ind w:hanging="720"/>
        <w:rPr>
          <w:vanish/>
        </w:rPr>
      </w:pPr>
      <w:r w:rsidRPr="005A1D95">
        <w:rPr>
          <w:vanish/>
        </w:rPr>
        <w:t>$$7</w:t>
      </w:r>
      <w:r w:rsidR="00166DCF">
        <w:rPr>
          <w:vanish/>
        </w:rPr>
        <w:t>14</w:t>
      </w:r>
      <w:r w:rsidRPr="005A1D95">
        <w:rPr>
          <w:vanish/>
        </w:rPr>
        <w:t>.00A</w:t>
      </w:r>
    </w:p>
    <w:p w14:paraId="51230AB0" w14:textId="1DF9D974" w:rsidR="005A1D95" w:rsidRDefault="005A1D95" w:rsidP="005A1D95">
      <w:pPr>
        <w:pStyle w:val="Heading9"/>
      </w:pPr>
      <w:r>
        <w:t>Section 7</w:t>
      </w:r>
      <w:r w:rsidR="00166DCF">
        <w:t>14</w:t>
      </w:r>
      <w:r>
        <w:t>. — GE</w:t>
      </w:r>
      <w:r w:rsidR="00166DCF">
        <w:t>OSYNTHETIC M</w:t>
      </w:r>
      <w:r>
        <w:t>ATE</w:t>
      </w:r>
      <w:r w:rsidR="00166DCF">
        <w:t>RIAL</w:t>
      </w:r>
    </w:p>
    <w:p w14:paraId="485DE105" w14:textId="6F67D7A4" w:rsidR="005A1D95" w:rsidRPr="00A9271F" w:rsidRDefault="005A1D95" w:rsidP="1C2633BC">
      <w:pPr>
        <w:jc w:val="center"/>
        <w:rPr>
          <w:vanish/>
          <w:color w:val="FF0000"/>
          <w:sz w:val="20"/>
          <w:szCs w:val="20"/>
        </w:rPr>
      </w:pPr>
      <w:r w:rsidRPr="00A9271F">
        <w:rPr>
          <w:vanish/>
          <w:color w:val="FF0000"/>
          <w:sz w:val="20"/>
          <w:szCs w:val="20"/>
        </w:rPr>
        <w:t xml:space="preserve">Revised </w:t>
      </w:r>
      <w:r w:rsidR="00AE6A48">
        <w:rPr>
          <w:vanish/>
          <w:color w:val="FF0000"/>
          <w:sz w:val="20"/>
          <w:szCs w:val="20"/>
        </w:rPr>
        <w:t>0</w:t>
      </w:r>
      <w:r w:rsidR="00052BD7">
        <w:rPr>
          <w:vanish/>
          <w:color w:val="FF0000"/>
          <w:sz w:val="20"/>
          <w:szCs w:val="20"/>
        </w:rPr>
        <w:t>8</w:t>
      </w:r>
      <w:r w:rsidR="00F86B56" w:rsidRPr="00A9271F">
        <w:rPr>
          <w:vanish/>
          <w:color w:val="FF0000"/>
          <w:sz w:val="20"/>
          <w:szCs w:val="20"/>
        </w:rPr>
        <w:t xml:space="preserve"> </w:t>
      </w:r>
      <w:r w:rsidR="00AE6A48">
        <w:rPr>
          <w:vanish/>
          <w:color w:val="FF0000"/>
          <w:sz w:val="20"/>
          <w:szCs w:val="20"/>
        </w:rPr>
        <w:t>N</w:t>
      </w:r>
      <w:r w:rsidR="00E62634">
        <w:rPr>
          <w:vanish/>
          <w:color w:val="FF0000"/>
          <w:sz w:val="20"/>
          <w:szCs w:val="20"/>
        </w:rPr>
        <w:t>o</w:t>
      </w:r>
      <w:r w:rsidR="0039759B">
        <w:rPr>
          <w:vanish/>
          <w:color w:val="FF0000"/>
          <w:sz w:val="20"/>
          <w:szCs w:val="20"/>
        </w:rPr>
        <w:t>v</w:t>
      </w:r>
      <w:r w:rsidR="00052BD7">
        <w:rPr>
          <w:vanish/>
          <w:color w:val="FF0000"/>
          <w:sz w:val="20"/>
          <w:szCs w:val="20"/>
        </w:rPr>
        <w:t>ember</w:t>
      </w:r>
      <w:r w:rsidR="00C71E9A" w:rsidRPr="00A9271F">
        <w:rPr>
          <w:vanish/>
          <w:color w:val="FF0000"/>
          <w:sz w:val="20"/>
          <w:szCs w:val="20"/>
        </w:rPr>
        <w:t xml:space="preserve"> 202</w:t>
      </w:r>
      <w:r w:rsidR="4D710FB3" w:rsidRPr="00A9271F">
        <w:rPr>
          <w:vanish/>
          <w:color w:val="FF0000"/>
          <w:sz w:val="20"/>
          <w:szCs w:val="20"/>
        </w:rPr>
        <w:t>4</w:t>
      </w:r>
    </w:p>
    <w:p w14:paraId="548E69E9" w14:textId="77777777" w:rsidR="006D63E2" w:rsidRPr="00F628A4" w:rsidRDefault="006D63E2" w:rsidP="006D63E2"/>
    <w:p w14:paraId="7681FB77" w14:textId="5977E68F" w:rsidR="005A1D95" w:rsidRPr="00AF7D8F" w:rsidRDefault="00E50028" w:rsidP="00C71262">
      <w:pPr>
        <w:contextualSpacing/>
        <w:rPr>
          <w:i/>
          <w:vanish/>
          <w:highlight w:val="yellow"/>
        </w:rPr>
      </w:pPr>
      <w:r w:rsidRPr="00A90906">
        <w:rPr>
          <w:i/>
          <w:iCs/>
          <w:vanish/>
          <w:highlight w:val="yellow"/>
        </w:rPr>
        <w:t xml:space="preserve">INCLUDE THE FOLLOWING SPEC INSTRUCTION LINE </w:t>
      </w:r>
      <w:r w:rsidR="00A94450">
        <w:rPr>
          <w:i/>
          <w:iCs/>
          <w:vanish/>
          <w:highlight w:val="yellow"/>
        </w:rPr>
        <w:t xml:space="preserve">AND SUBSECTION TITLE TEXT </w:t>
      </w:r>
      <w:r w:rsidRPr="00A90906">
        <w:rPr>
          <w:i/>
          <w:iCs/>
          <w:vanish/>
          <w:highlight w:val="yellow"/>
        </w:rPr>
        <w:t xml:space="preserve">(CLAUSE </w:t>
      </w:r>
      <w:r w:rsidR="00515DEF">
        <w:rPr>
          <w:i/>
          <w:iCs/>
          <w:vanish/>
          <w:highlight w:val="yellow"/>
        </w:rPr>
        <w:t>##</w:t>
      </w:r>
      <w:r>
        <w:rPr>
          <w:i/>
          <w:iCs/>
          <w:vanish/>
          <w:highlight w:val="yellow"/>
        </w:rPr>
        <w:t>7</w:t>
      </w:r>
      <w:r w:rsidRPr="00A90906">
        <w:rPr>
          <w:i/>
          <w:iCs/>
          <w:vanish/>
          <w:highlight w:val="yellow"/>
        </w:rPr>
        <w:t>1</w:t>
      </w:r>
      <w:r>
        <w:rPr>
          <w:i/>
          <w:iCs/>
          <w:vanish/>
          <w:highlight w:val="yellow"/>
        </w:rPr>
        <w:t>4</w:t>
      </w:r>
      <w:r w:rsidRPr="00A90906">
        <w:rPr>
          <w:i/>
          <w:iCs/>
          <w:vanish/>
          <w:highlight w:val="yellow"/>
        </w:rPr>
        <w:t>.0</w:t>
      </w:r>
      <w:r>
        <w:rPr>
          <w:i/>
          <w:iCs/>
          <w:vanish/>
          <w:highlight w:val="yellow"/>
        </w:rPr>
        <w:t>1A</w:t>
      </w:r>
      <w:r w:rsidRPr="00A90906">
        <w:rPr>
          <w:i/>
          <w:iCs/>
          <w:vanish/>
          <w:highlight w:val="yellow"/>
        </w:rPr>
        <w:t>)</w:t>
      </w:r>
      <w:r w:rsidR="006D7F5D">
        <w:rPr>
          <w:i/>
          <w:iCs/>
          <w:vanish/>
          <w:highlight w:val="yellow"/>
        </w:rPr>
        <w:t xml:space="preserve"> </w:t>
      </w:r>
      <w:r w:rsidR="00EC3E78">
        <w:rPr>
          <w:i/>
          <w:iCs/>
          <w:vanish/>
          <w:highlight w:val="yellow"/>
        </w:rPr>
        <w:t>FOR PROJECTS REQUIRING GEOTEXTILE FILTER</w:t>
      </w:r>
      <w:r w:rsidR="00C3203D">
        <w:rPr>
          <w:i/>
          <w:iCs/>
          <w:vanish/>
          <w:highlight w:val="yellow"/>
        </w:rPr>
        <w:t>S</w:t>
      </w:r>
      <w:r w:rsidR="001121A8">
        <w:rPr>
          <w:i/>
          <w:iCs/>
          <w:vanish/>
          <w:highlight w:val="yellow"/>
        </w:rPr>
        <w:t xml:space="preserve"> AND</w:t>
      </w:r>
      <w:r w:rsidRPr="00A90906">
        <w:rPr>
          <w:i/>
          <w:iCs/>
          <w:vanish/>
          <w:highlight w:val="yellow"/>
        </w:rPr>
        <w:t xml:space="preserve"> VERIFY WITH </w:t>
      </w:r>
      <w:r>
        <w:rPr>
          <w:i/>
          <w:iCs/>
          <w:vanish/>
          <w:highlight w:val="yellow"/>
        </w:rPr>
        <w:t>GEOTECH AND HYDRAULICS</w:t>
      </w:r>
      <w:r w:rsidR="00BA4F38">
        <w:rPr>
          <w:i/>
          <w:iCs/>
          <w:vanish/>
          <w:highlight w:val="yellow"/>
        </w:rPr>
        <w:t xml:space="preserve"> </w:t>
      </w:r>
      <w:r w:rsidR="002A3292">
        <w:rPr>
          <w:i/>
          <w:iCs/>
          <w:vanish/>
          <w:highlight w:val="yellow"/>
        </w:rPr>
        <w:t>WHICH</w:t>
      </w:r>
      <w:r w:rsidRPr="00A90906">
        <w:rPr>
          <w:i/>
          <w:iCs/>
          <w:vanish/>
          <w:highlight w:val="yellow"/>
        </w:rPr>
        <w:t xml:space="preserve"> </w:t>
      </w:r>
      <w:r w:rsidR="00E86036">
        <w:rPr>
          <w:i/>
          <w:iCs/>
          <w:vanish/>
          <w:highlight w:val="yellow"/>
        </w:rPr>
        <w:t xml:space="preserve">ONE </w:t>
      </w:r>
      <w:r w:rsidR="00800278">
        <w:rPr>
          <w:i/>
          <w:iCs/>
          <w:vanish/>
          <w:highlight w:val="yellow"/>
        </w:rPr>
        <w:t>OF THE</w:t>
      </w:r>
      <w:r w:rsidR="00E86036">
        <w:rPr>
          <w:i/>
          <w:iCs/>
          <w:vanish/>
          <w:highlight w:val="yellow"/>
        </w:rPr>
        <w:t xml:space="preserve"> THREE</w:t>
      </w:r>
      <w:r w:rsidR="00800278">
        <w:rPr>
          <w:i/>
          <w:iCs/>
          <w:vanish/>
          <w:highlight w:val="yellow"/>
        </w:rPr>
        <w:t xml:space="preserve"> </w:t>
      </w:r>
      <w:r w:rsidRPr="00A90906">
        <w:rPr>
          <w:i/>
          <w:iCs/>
          <w:vanish/>
          <w:highlight w:val="yellow"/>
        </w:rPr>
        <w:t xml:space="preserve">CLAUSES </w:t>
      </w:r>
      <w:r w:rsidR="006A3C20">
        <w:rPr>
          <w:i/>
          <w:iCs/>
          <w:vanish/>
          <w:highlight w:val="yellow"/>
        </w:rPr>
        <w:t>##714</w:t>
      </w:r>
      <w:r w:rsidR="006A3C20" w:rsidRPr="00A90906">
        <w:rPr>
          <w:i/>
          <w:iCs/>
          <w:vanish/>
          <w:highlight w:val="yellow"/>
        </w:rPr>
        <w:t>.0</w:t>
      </w:r>
      <w:r w:rsidR="006A3C20">
        <w:rPr>
          <w:i/>
          <w:iCs/>
          <w:vanish/>
          <w:highlight w:val="yellow"/>
        </w:rPr>
        <w:t>1B,</w:t>
      </w:r>
      <w:r w:rsidR="006A3C20" w:rsidRPr="00A90906">
        <w:rPr>
          <w:i/>
          <w:iCs/>
          <w:vanish/>
          <w:highlight w:val="yellow"/>
        </w:rPr>
        <w:t xml:space="preserve"> </w:t>
      </w:r>
      <w:r w:rsidR="006A3C20">
        <w:rPr>
          <w:i/>
          <w:iCs/>
          <w:vanish/>
          <w:highlight w:val="yellow"/>
        </w:rPr>
        <w:t>##714</w:t>
      </w:r>
      <w:r w:rsidR="006A3C20" w:rsidRPr="00A90906">
        <w:rPr>
          <w:i/>
          <w:iCs/>
          <w:vanish/>
          <w:highlight w:val="yellow"/>
        </w:rPr>
        <w:t>.0</w:t>
      </w:r>
      <w:r w:rsidR="006A3C20">
        <w:rPr>
          <w:i/>
          <w:iCs/>
          <w:vanish/>
          <w:highlight w:val="yellow"/>
        </w:rPr>
        <w:t>1C, OR</w:t>
      </w:r>
      <w:r w:rsidR="006A3C20" w:rsidRPr="00A90906">
        <w:rPr>
          <w:i/>
          <w:iCs/>
          <w:vanish/>
          <w:highlight w:val="yellow"/>
        </w:rPr>
        <w:t xml:space="preserve"> </w:t>
      </w:r>
      <w:r w:rsidR="006A3C20">
        <w:rPr>
          <w:i/>
          <w:iCs/>
          <w:vanish/>
          <w:highlight w:val="yellow"/>
        </w:rPr>
        <w:t>##7</w:t>
      </w:r>
      <w:r w:rsidR="006A3C20" w:rsidRPr="00A90906">
        <w:rPr>
          <w:i/>
          <w:iCs/>
          <w:vanish/>
          <w:highlight w:val="yellow"/>
        </w:rPr>
        <w:t>1</w:t>
      </w:r>
      <w:r w:rsidR="006A3C20">
        <w:rPr>
          <w:i/>
          <w:iCs/>
          <w:vanish/>
          <w:highlight w:val="yellow"/>
        </w:rPr>
        <w:t>4.01D</w:t>
      </w:r>
      <w:r w:rsidR="006A3C20" w:rsidRPr="00A90906">
        <w:rPr>
          <w:i/>
          <w:iCs/>
          <w:vanish/>
          <w:highlight w:val="yellow"/>
        </w:rPr>
        <w:t xml:space="preserve"> </w:t>
      </w:r>
      <w:r w:rsidR="002A3292">
        <w:rPr>
          <w:i/>
          <w:iCs/>
          <w:vanish/>
          <w:highlight w:val="yellow"/>
        </w:rPr>
        <w:t>IS</w:t>
      </w:r>
      <w:r w:rsidRPr="00A90906">
        <w:rPr>
          <w:i/>
          <w:iCs/>
          <w:vanish/>
          <w:highlight w:val="yellow"/>
        </w:rPr>
        <w:t xml:space="preserve"> APPROPRIATE FOR THE PROJECT</w:t>
      </w:r>
      <w:r w:rsidR="00734A0F">
        <w:rPr>
          <w:i/>
          <w:iCs/>
          <w:vanish/>
          <w:highlight w:val="yellow"/>
        </w:rPr>
        <w:t xml:space="preserve"> </w:t>
      </w:r>
      <w:r w:rsidR="005B1B07" w:rsidRPr="00C71262">
        <w:rPr>
          <w:i/>
          <w:iCs/>
          <w:vanish/>
          <w:color w:val="FF0000"/>
          <w:highlight w:val="yellow"/>
        </w:rPr>
        <w:t xml:space="preserve">(USE ONLY ONE </w:t>
      </w:r>
      <w:r w:rsidR="008C6073" w:rsidRPr="00C71262">
        <w:rPr>
          <w:i/>
          <w:iCs/>
          <w:vanish/>
          <w:color w:val="FF0000"/>
          <w:highlight w:val="yellow"/>
        </w:rPr>
        <w:t>OF THE CLAUSES ##714.01B</w:t>
      </w:r>
      <w:r w:rsidR="00B154C9" w:rsidRPr="00DB2643">
        <w:rPr>
          <w:i/>
          <w:iCs/>
          <w:vanish/>
          <w:color w:val="FF0000"/>
          <w:highlight w:val="yellow"/>
        </w:rPr>
        <w:t>,</w:t>
      </w:r>
      <w:r w:rsidR="008C6073" w:rsidRPr="00C71262">
        <w:rPr>
          <w:i/>
          <w:iCs/>
          <w:vanish/>
          <w:color w:val="FF0000"/>
          <w:highlight w:val="yellow"/>
        </w:rPr>
        <w:t xml:space="preserve"> </w:t>
      </w:r>
      <w:r w:rsidR="00B154C9" w:rsidRPr="00DB2643">
        <w:rPr>
          <w:i/>
          <w:iCs/>
          <w:vanish/>
          <w:color w:val="FF0000"/>
          <w:highlight w:val="yellow"/>
        </w:rPr>
        <w:t xml:space="preserve">##714.01C, OR </w:t>
      </w:r>
      <w:r w:rsidR="008C6073" w:rsidRPr="00C71262">
        <w:rPr>
          <w:i/>
          <w:iCs/>
          <w:vanish/>
          <w:color w:val="FF0000"/>
          <w:highlight w:val="yellow"/>
        </w:rPr>
        <w:t>##714.01D)</w:t>
      </w:r>
    </w:p>
    <w:p w14:paraId="7398ECAD" w14:textId="67D4E020" w:rsidR="005A1D95" w:rsidRPr="00FE39E2" w:rsidRDefault="00FB5026" w:rsidP="00C71262">
      <w:pPr>
        <w:ind w:hanging="720"/>
        <w:contextualSpacing/>
        <w:rPr>
          <w:vanish/>
        </w:rPr>
      </w:pPr>
      <w:r>
        <w:rPr>
          <w:vanish/>
        </w:rPr>
        <w:t>##</w:t>
      </w:r>
      <w:r w:rsidR="005A1D95" w:rsidRPr="005A1D95">
        <w:rPr>
          <w:vanish/>
        </w:rPr>
        <w:t>7</w:t>
      </w:r>
      <w:r w:rsidR="00166DCF">
        <w:rPr>
          <w:vanish/>
        </w:rPr>
        <w:t>14</w:t>
      </w:r>
      <w:r w:rsidR="005A1D95" w:rsidRPr="005A1D95">
        <w:rPr>
          <w:vanish/>
        </w:rPr>
        <w:t>.0</w:t>
      </w:r>
      <w:r w:rsidR="00166DCF">
        <w:rPr>
          <w:vanish/>
        </w:rPr>
        <w:t>1</w:t>
      </w:r>
      <w:r w:rsidR="005A1D95" w:rsidRPr="00FE39E2">
        <w:rPr>
          <w:vanish/>
        </w:rPr>
        <w:t>A</w:t>
      </w:r>
    </w:p>
    <w:p w14:paraId="4CBCB124" w14:textId="6CA72635" w:rsidR="005A1D95" w:rsidRDefault="005A1D95" w:rsidP="00C71262">
      <w:pPr>
        <w:contextualSpacing/>
      </w:pPr>
      <w:r>
        <w:t>7</w:t>
      </w:r>
      <w:r w:rsidR="00166DCF">
        <w:t>14</w:t>
      </w:r>
      <w:r>
        <w:t>.0</w:t>
      </w:r>
      <w:r w:rsidR="00166DCF">
        <w:t>1</w:t>
      </w:r>
      <w:r w:rsidR="00E50028">
        <w:t>(c)</w:t>
      </w:r>
      <w:r>
        <w:t xml:space="preserve">.  </w:t>
      </w:r>
      <w:r w:rsidR="00E50028">
        <w:t>Delete the Subsection an</w:t>
      </w:r>
      <w:r>
        <w:t xml:space="preserve">d </w:t>
      </w:r>
      <w:r w:rsidR="00E50028">
        <w:t xml:space="preserve">substitute </w:t>
      </w:r>
      <w:r>
        <w:t>the following:</w:t>
      </w:r>
    </w:p>
    <w:p w14:paraId="2391BEBF" w14:textId="77777777" w:rsidR="00BA4F38" w:rsidRPr="0018455C" w:rsidRDefault="00BA4F38" w:rsidP="00C729A0">
      <w:pPr>
        <w:contextualSpacing/>
        <w:rPr>
          <w:iCs/>
        </w:rPr>
      </w:pPr>
    </w:p>
    <w:p w14:paraId="5031021F" w14:textId="6C3BBE95" w:rsidR="00C95EEE" w:rsidRDefault="00C95EEE" w:rsidP="0018455C">
      <w:pPr>
        <w:ind w:left="360"/>
        <w:contextualSpacing/>
        <w:rPr>
          <w:iCs/>
        </w:rPr>
      </w:pPr>
      <w:r w:rsidRPr="00C95EEE">
        <w:rPr>
          <w:b/>
          <w:bCs/>
          <w:iCs/>
        </w:rPr>
        <w:t>(c) Geotextile filter.</w:t>
      </w:r>
      <w:r w:rsidR="0061604F" w:rsidRPr="0018455C">
        <w:rPr>
          <w:iCs/>
        </w:rPr>
        <w:t xml:space="preserve"> </w:t>
      </w:r>
      <w:r w:rsidR="00C37D15">
        <w:rPr>
          <w:iCs/>
        </w:rPr>
        <w:t>P</w:t>
      </w:r>
      <w:r w:rsidR="00C37D15" w:rsidRPr="002E1C17">
        <w:rPr>
          <w:iCs/>
        </w:rPr>
        <w:t xml:space="preserve">rovide </w:t>
      </w:r>
      <w:r w:rsidR="00C37D15">
        <w:rPr>
          <w:iCs/>
        </w:rPr>
        <w:t>geotextile filter</w:t>
      </w:r>
      <w:r w:rsidR="00C37D15" w:rsidRPr="002E1C17">
        <w:rPr>
          <w:iCs/>
        </w:rPr>
        <w:t xml:space="preserve"> for the following installations</w:t>
      </w:r>
      <w:r w:rsidR="00283C04">
        <w:rPr>
          <w:iCs/>
        </w:rPr>
        <w:t>:</w:t>
      </w:r>
    </w:p>
    <w:p w14:paraId="3EEFACD6" w14:textId="77777777" w:rsidR="0018455C" w:rsidRPr="00C95EEE" w:rsidRDefault="0018455C" w:rsidP="0018455C">
      <w:pPr>
        <w:ind w:left="360"/>
        <w:contextualSpacing/>
        <w:rPr>
          <w:iCs/>
        </w:rPr>
      </w:pPr>
    </w:p>
    <w:p w14:paraId="5DAB791B" w14:textId="3F16184E" w:rsidR="00973AE9" w:rsidRPr="00AF7D8F" w:rsidRDefault="006D7F5D" w:rsidP="00C71262">
      <w:pPr>
        <w:contextualSpacing/>
        <w:rPr>
          <w:i/>
          <w:iCs/>
          <w:vanish/>
        </w:rPr>
      </w:pPr>
      <w:r>
        <w:rPr>
          <w:i/>
          <w:iCs/>
          <w:vanish/>
          <w:highlight w:val="yellow"/>
        </w:rPr>
        <w:t>INCL</w:t>
      </w:r>
      <w:r w:rsidR="002F4C58" w:rsidRPr="00F628A4">
        <w:rPr>
          <w:i/>
          <w:iCs/>
          <w:vanish/>
          <w:highlight w:val="yellow"/>
        </w:rPr>
        <w:t>U</w:t>
      </w:r>
      <w:r>
        <w:rPr>
          <w:i/>
          <w:iCs/>
          <w:vanish/>
          <w:highlight w:val="yellow"/>
        </w:rPr>
        <w:t>D</w:t>
      </w:r>
      <w:r w:rsidR="002F4C58" w:rsidRPr="00F628A4">
        <w:rPr>
          <w:i/>
          <w:iCs/>
          <w:vanish/>
          <w:highlight w:val="yellow"/>
        </w:rPr>
        <w:t xml:space="preserve">E </w:t>
      </w:r>
      <w:r>
        <w:rPr>
          <w:i/>
          <w:iCs/>
          <w:vanish/>
          <w:highlight w:val="yellow"/>
        </w:rPr>
        <w:t xml:space="preserve">THE FOLLOWING </w:t>
      </w:r>
      <w:r w:rsidR="00BA4F38">
        <w:rPr>
          <w:i/>
          <w:iCs/>
          <w:vanish/>
          <w:highlight w:val="yellow"/>
        </w:rPr>
        <w:t>FOR PROJECTS REQUIRING GEOTEXTILE FILTER</w:t>
      </w:r>
      <w:r w:rsidR="00DC677E">
        <w:rPr>
          <w:i/>
          <w:iCs/>
          <w:vanish/>
          <w:highlight w:val="yellow"/>
        </w:rPr>
        <w:t>S</w:t>
      </w:r>
      <w:r w:rsidR="00BA4F38">
        <w:rPr>
          <w:i/>
          <w:iCs/>
          <w:vanish/>
          <w:highlight w:val="yellow"/>
        </w:rPr>
        <w:t xml:space="preserve"> WITH &lt;15 PERCENT OF IN SITU SOIL PASSING THE NO. 200 SIEVE</w:t>
      </w:r>
      <w:bookmarkStart w:id="0" w:name="_Hlk181265386"/>
      <w:r w:rsidR="008C6073">
        <w:rPr>
          <w:i/>
          <w:iCs/>
          <w:vanish/>
          <w:highlight w:val="yellow"/>
        </w:rPr>
        <w:t xml:space="preserve"> </w:t>
      </w:r>
      <w:r w:rsidR="008C6073" w:rsidRPr="00C71262">
        <w:rPr>
          <w:i/>
          <w:iCs/>
          <w:vanish/>
          <w:color w:val="FF0000"/>
          <w:highlight w:val="yellow"/>
        </w:rPr>
        <w:t xml:space="preserve">(IF CLAUSE </w:t>
      </w:r>
      <w:r w:rsidR="003915C5" w:rsidRPr="00C71262">
        <w:rPr>
          <w:i/>
          <w:iCs/>
          <w:vanish/>
          <w:color w:val="FF0000"/>
          <w:highlight w:val="yellow"/>
        </w:rPr>
        <w:t xml:space="preserve">##714.01B </w:t>
      </w:r>
      <w:r w:rsidR="008C6073" w:rsidRPr="00C71262">
        <w:rPr>
          <w:i/>
          <w:iCs/>
          <w:vanish/>
          <w:color w:val="FF0000"/>
          <w:highlight w:val="yellow"/>
        </w:rPr>
        <w:t>IS USED</w:t>
      </w:r>
      <w:r w:rsidR="003915C5" w:rsidRPr="00C71262">
        <w:rPr>
          <w:i/>
          <w:iCs/>
          <w:vanish/>
          <w:color w:val="FF0000"/>
          <w:highlight w:val="yellow"/>
        </w:rPr>
        <w:t xml:space="preserve">, DO NOT </w:t>
      </w:r>
      <w:r w:rsidR="00E2509D" w:rsidRPr="00C71262">
        <w:rPr>
          <w:i/>
          <w:iCs/>
          <w:vanish/>
          <w:color w:val="FF0000"/>
          <w:highlight w:val="yellow"/>
        </w:rPr>
        <w:t>INCLUD</w:t>
      </w:r>
      <w:r w:rsidR="008C6073" w:rsidRPr="00C71262">
        <w:rPr>
          <w:i/>
          <w:iCs/>
          <w:vanish/>
          <w:color w:val="FF0000"/>
          <w:highlight w:val="yellow"/>
        </w:rPr>
        <w:t>E CLAUSES ##714.01</w:t>
      </w:r>
      <w:r w:rsidR="00E2509D" w:rsidRPr="00C71262">
        <w:rPr>
          <w:i/>
          <w:iCs/>
          <w:vanish/>
          <w:color w:val="FF0000"/>
          <w:highlight w:val="yellow"/>
        </w:rPr>
        <w:t>C</w:t>
      </w:r>
      <w:r w:rsidR="008C6073" w:rsidRPr="00C71262">
        <w:rPr>
          <w:i/>
          <w:iCs/>
          <w:vanish/>
          <w:color w:val="FF0000"/>
          <w:highlight w:val="yellow"/>
        </w:rPr>
        <w:t xml:space="preserve"> </w:t>
      </w:r>
      <w:r w:rsidR="00090AC0" w:rsidRPr="00C71262">
        <w:rPr>
          <w:i/>
          <w:iCs/>
          <w:vanish/>
          <w:color w:val="FF0000"/>
          <w:highlight w:val="yellow"/>
        </w:rPr>
        <w:t>O</w:t>
      </w:r>
      <w:r w:rsidR="008C6073" w:rsidRPr="00C71262">
        <w:rPr>
          <w:i/>
          <w:iCs/>
          <w:vanish/>
          <w:color w:val="FF0000"/>
          <w:highlight w:val="yellow"/>
        </w:rPr>
        <w:t>R ##714.01D)</w:t>
      </w:r>
      <w:bookmarkEnd w:id="0"/>
    </w:p>
    <w:p w14:paraId="375DECC9" w14:textId="37F50C64" w:rsidR="00F142DD" w:rsidRPr="00BA4F38" w:rsidRDefault="00BA4F38" w:rsidP="00C71262">
      <w:pPr>
        <w:ind w:hanging="720"/>
        <w:contextualSpacing/>
        <w:rPr>
          <w:vanish/>
        </w:rPr>
      </w:pPr>
      <w:r>
        <w:rPr>
          <w:vanish/>
        </w:rPr>
        <w:t>##</w:t>
      </w:r>
      <w:r w:rsidR="00973AE9" w:rsidRPr="003A647B">
        <w:rPr>
          <w:vanish/>
        </w:rPr>
        <w:t>7</w:t>
      </w:r>
      <w:r>
        <w:rPr>
          <w:vanish/>
        </w:rPr>
        <w:t>14</w:t>
      </w:r>
      <w:r w:rsidR="00973AE9" w:rsidRPr="003A647B">
        <w:rPr>
          <w:vanish/>
        </w:rPr>
        <w:t>.0</w:t>
      </w:r>
      <w:r>
        <w:rPr>
          <w:vanish/>
        </w:rPr>
        <w:t>1B</w:t>
      </w:r>
    </w:p>
    <w:p w14:paraId="78FE5284" w14:textId="18FC749B" w:rsidR="00BA4F38" w:rsidRDefault="00BA4F38" w:rsidP="00C729A0">
      <w:pPr>
        <w:pStyle w:val="Indent20"/>
        <w:spacing w:before="0"/>
        <w:contextualSpacing/>
        <w:jc w:val="left"/>
      </w:pPr>
      <w:r w:rsidRPr="002B17AE">
        <w:rPr>
          <w:b/>
          <w:bCs/>
        </w:rPr>
        <w:t>(1</w:t>
      </w:r>
      <w:r w:rsidRPr="00652757">
        <w:rPr>
          <w:b/>
          <w:bCs/>
        </w:rPr>
        <w:t>)</w:t>
      </w:r>
      <w:r w:rsidRPr="00C71262">
        <w:rPr>
          <w:b/>
          <w:bCs/>
        </w:rPr>
        <w:t xml:space="preserve"> </w:t>
      </w:r>
      <w:r w:rsidR="00642031" w:rsidRPr="00C71262">
        <w:rPr>
          <w:b/>
          <w:bCs/>
        </w:rPr>
        <w:t>R</w:t>
      </w:r>
      <w:r w:rsidR="002949A3" w:rsidRPr="00C71262">
        <w:rPr>
          <w:b/>
          <w:bCs/>
        </w:rPr>
        <w:t>iprap, special rock embankment, rock buttress, and other high survivability applications</w:t>
      </w:r>
      <w:r w:rsidR="00652757" w:rsidRPr="00C71262">
        <w:rPr>
          <w:b/>
          <w:bCs/>
        </w:rPr>
        <w:t>.</w:t>
      </w:r>
      <w:r w:rsidR="00652757">
        <w:t xml:space="preserve"> </w:t>
      </w:r>
      <w:r w:rsidRPr="00357EEB">
        <w:t>Conform to AASHTO M 288 Table 1, Class 1</w:t>
      </w:r>
      <w:r>
        <w:t xml:space="preserve"> (either &lt;50 percent elongation or </w:t>
      </w:r>
      <w:r w:rsidRPr="002C114E">
        <w:rPr>
          <w:rFonts w:eastAsia="Calibri"/>
          <w:szCs w:val="20"/>
        </w:rPr>
        <w:t>≥50</w:t>
      </w:r>
      <w:r w:rsidRPr="002C114E">
        <w:rPr>
          <w:rFonts w:eastAsia="Calibri"/>
        </w:rPr>
        <w:t xml:space="preserve"> percent</w:t>
      </w:r>
      <w:r w:rsidRPr="002C114E">
        <w:rPr>
          <w:rFonts w:eastAsia="Calibri"/>
          <w:szCs w:val="20"/>
        </w:rPr>
        <w:t xml:space="preserve"> elongation</w:t>
      </w:r>
      <w:r>
        <w:rPr>
          <w:rFonts w:eastAsia="Calibri"/>
          <w:szCs w:val="20"/>
        </w:rPr>
        <w:t>)</w:t>
      </w:r>
      <w:r>
        <w:t xml:space="preserve"> and the following:</w:t>
      </w:r>
    </w:p>
    <w:p w14:paraId="1007EB80" w14:textId="77777777" w:rsidR="00F22627" w:rsidRPr="00357EEB" w:rsidRDefault="00F22627" w:rsidP="00C71262">
      <w:pPr>
        <w:pStyle w:val="Indent20"/>
        <w:spacing w:before="0"/>
        <w:contextualSpacing/>
        <w:jc w:val="left"/>
      </w:pPr>
    </w:p>
    <w:p w14:paraId="4FB0924E" w14:textId="77777777" w:rsidR="00BA4F38" w:rsidRPr="00906FD6" w:rsidRDefault="00BA4F38" w:rsidP="00C71262">
      <w:pPr>
        <w:pStyle w:val="Indent30"/>
        <w:spacing w:before="0"/>
        <w:contextualSpacing/>
        <w:jc w:val="left"/>
      </w:pPr>
      <w:bookmarkStart w:id="1" w:name="_Hlk172278028"/>
      <w:r w:rsidRPr="002B17AE">
        <w:rPr>
          <w:i/>
        </w:rPr>
        <w:t>(a)</w:t>
      </w:r>
      <w:r w:rsidRPr="004E2B3D">
        <w:t xml:space="preserve"> Minimum</w:t>
      </w:r>
      <w:bookmarkEnd w:id="1"/>
      <w:r w:rsidRPr="004E2B3D">
        <w:t xml:space="preserve"> permittivity, ASTM D4491</w:t>
      </w:r>
      <w:r w:rsidRPr="004E2B3D">
        <w:tab/>
      </w:r>
      <w:r w:rsidRPr="004E2B3D">
        <w:tab/>
        <w:t xml:space="preserve">0.7 </w:t>
      </w:r>
      <w:proofErr w:type="gramStart"/>
      <w:r w:rsidRPr="004E2B3D">
        <w:t>sec</w:t>
      </w:r>
      <w:r w:rsidRPr="004E2B3D">
        <w:rPr>
          <w:vertAlign w:val="superscript"/>
        </w:rPr>
        <w:t>-1</w:t>
      </w:r>
      <w:proofErr w:type="gramEnd"/>
    </w:p>
    <w:p w14:paraId="1D8588CD" w14:textId="77777777" w:rsidR="009C6DF9" w:rsidRPr="004E2B3D" w:rsidRDefault="009C6DF9" w:rsidP="00906FD6">
      <w:pPr>
        <w:pStyle w:val="Indent30"/>
        <w:spacing w:before="0"/>
        <w:ind w:left="6480"/>
        <w:contextualSpacing/>
        <w:jc w:val="left"/>
      </w:pPr>
      <w:bookmarkStart w:id="2" w:name="_Hlk172278107"/>
    </w:p>
    <w:p w14:paraId="43E99A05" w14:textId="3151786C" w:rsidR="00BA4F38" w:rsidRPr="004E2B3D" w:rsidRDefault="00BA4F38" w:rsidP="00C71262">
      <w:pPr>
        <w:pStyle w:val="Indent30"/>
        <w:spacing w:before="0"/>
        <w:contextualSpacing/>
        <w:jc w:val="left"/>
      </w:pPr>
      <w:r>
        <w:t>(</w:t>
      </w:r>
      <w:r>
        <w:rPr>
          <w:i/>
          <w:iCs/>
        </w:rPr>
        <w:t>b)</w:t>
      </w:r>
      <w:r w:rsidRPr="00C71262">
        <w:t xml:space="preserve"> </w:t>
      </w:r>
      <w:r w:rsidRPr="004E2B3D">
        <w:t xml:space="preserve">Maximum </w:t>
      </w:r>
      <w:bookmarkEnd w:id="2"/>
      <w:r w:rsidRPr="004E2B3D">
        <w:t>apparent opening size, ASTM D4751</w:t>
      </w:r>
      <w:r w:rsidRPr="004E2B3D">
        <w:tab/>
        <w:t>0.43 mm maximum average</w:t>
      </w:r>
    </w:p>
    <w:p w14:paraId="73C689EE" w14:textId="77777777" w:rsidR="00BA4F38" w:rsidRDefault="00BA4F38" w:rsidP="00906FD6">
      <w:pPr>
        <w:pStyle w:val="Indent30"/>
        <w:spacing w:before="0"/>
        <w:ind w:left="6480"/>
        <w:contextualSpacing/>
        <w:jc w:val="left"/>
      </w:pPr>
      <w:r w:rsidRPr="004E2B3D">
        <w:t xml:space="preserve">roll </w:t>
      </w:r>
      <w:proofErr w:type="gramStart"/>
      <w:r w:rsidRPr="004E2B3D">
        <w:t>value</w:t>
      </w:r>
      <w:proofErr w:type="gramEnd"/>
    </w:p>
    <w:p w14:paraId="35764BB2" w14:textId="77777777" w:rsidR="004350BE" w:rsidRPr="004E2B3D" w:rsidRDefault="004350BE" w:rsidP="00C71262">
      <w:pPr>
        <w:pStyle w:val="Indent30"/>
        <w:spacing w:before="0"/>
        <w:ind w:left="6480"/>
        <w:contextualSpacing/>
        <w:jc w:val="left"/>
      </w:pPr>
    </w:p>
    <w:p w14:paraId="22A660AE" w14:textId="02FBCB79" w:rsidR="00BA4F38" w:rsidRPr="004E2B3D" w:rsidRDefault="00BA4F38" w:rsidP="00C71262">
      <w:pPr>
        <w:pStyle w:val="Indent30"/>
        <w:spacing w:before="0"/>
        <w:contextualSpacing/>
        <w:jc w:val="left"/>
      </w:pPr>
      <w:r w:rsidRPr="002B17AE">
        <w:rPr>
          <w:i/>
        </w:rPr>
        <w:t>(c)</w:t>
      </w:r>
      <w:r w:rsidRPr="004E2B3D">
        <w:t xml:space="preserve"> Minimum ultraviolet stability</w:t>
      </w:r>
      <w:r w:rsidR="009165F2">
        <w:t xml:space="preserve">, </w:t>
      </w:r>
      <w:r w:rsidRPr="004E2B3D">
        <w:t>ASTM D4355</w:t>
      </w:r>
      <w:r w:rsidRPr="004E2B3D">
        <w:tab/>
      </w:r>
      <w:r w:rsidRPr="004E2B3D">
        <w:tab/>
        <w:t>50</w:t>
      </w:r>
      <w:bookmarkStart w:id="3" w:name="_Hlk172278148"/>
      <w:r w:rsidRPr="004E2B3D">
        <w:t xml:space="preserve"> percent strength retained</w:t>
      </w:r>
    </w:p>
    <w:bookmarkEnd w:id="3"/>
    <w:p w14:paraId="63D7B85E" w14:textId="36D6C27A" w:rsidR="00BA4F38" w:rsidRPr="004E2B3D" w:rsidRDefault="00BA4F38" w:rsidP="00906FD6">
      <w:pPr>
        <w:pStyle w:val="Indent30"/>
        <w:spacing w:before="0"/>
        <w:ind w:left="6480"/>
        <w:contextualSpacing/>
        <w:jc w:val="left"/>
      </w:pPr>
      <w:r w:rsidRPr="004E2B3D">
        <w:t>after 500 hours of exposure</w:t>
      </w:r>
    </w:p>
    <w:p w14:paraId="507C590B" w14:textId="77777777" w:rsidR="009C6DF9" w:rsidRPr="004E2B3D" w:rsidRDefault="009C6DF9" w:rsidP="00C71262">
      <w:pPr>
        <w:pStyle w:val="Indent30"/>
        <w:spacing w:before="0"/>
        <w:ind w:left="6480"/>
        <w:contextualSpacing/>
        <w:jc w:val="left"/>
      </w:pPr>
    </w:p>
    <w:p w14:paraId="65C8E116" w14:textId="14B93FEA" w:rsidR="00BA4F38" w:rsidRDefault="00BA4F38" w:rsidP="00C729A0">
      <w:pPr>
        <w:pStyle w:val="Indent20"/>
        <w:spacing w:before="0"/>
        <w:contextualSpacing/>
        <w:jc w:val="left"/>
      </w:pPr>
      <w:bookmarkStart w:id="4" w:name="_Hlk170213095"/>
      <w:r w:rsidRPr="00C42842">
        <w:rPr>
          <w:b/>
          <w:bCs/>
        </w:rPr>
        <w:t>(2)</w:t>
      </w:r>
      <w:r w:rsidRPr="00C71262">
        <w:rPr>
          <w:b/>
          <w:bCs/>
        </w:rPr>
        <w:t xml:space="preserve"> </w:t>
      </w:r>
      <w:r w:rsidR="00C42842" w:rsidRPr="00C71262">
        <w:rPr>
          <w:b/>
          <w:bCs/>
        </w:rPr>
        <w:t>U</w:t>
      </w:r>
      <w:r w:rsidR="001E7D7B" w:rsidRPr="00C71262">
        <w:rPr>
          <w:b/>
          <w:bCs/>
        </w:rPr>
        <w:t>nderdrains and other subsurface drainage applications</w:t>
      </w:r>
      <w:r w:rsidR="00C42842" w:rsidRPr="00C71262">
        <w:rPr>
          <w:b/>
          <w:bCs/>
        </w:rPr>
        <w:t>.</w:t>
      </w:r>
      <w:r w:rsidR="001E7D7B" w:rsidRPr="00357EEB">
        <w:t xml:space="preserve"> </w:t>
      </w:r>
      <w:r w:rsidRPr="00357EEB">
        <w:t>Conform to AASHTO M 288 Table </w:t>
      </w:r>
      <w:r>
        <w:t>1</w:t>
      </w:r>
      <w:r w:rsidRPr="00357EEB">
        <w:t xml:space="preserve">, Class </w:t>
      </w:r>
      <w:r>
        <w:t xml:space="preserve">2 (either &lt;50 percent elongation or </w:t>
      </w:r>
      <w:r w:rsidRPr="002C114E">
        <w:rPr>
          <w:rFonts w:eastAsia="Calibri"/>
          <w:szCs w:val="20"/>
        </w:rPr>
        <w:t>≥50</w:t>
      </w:r>
      <w:r w:rsidRPr="002C114E">
        <w:rPr>
          <w:rFonts w:eastAsia="Calibri"/>
        </w:rPr>
        <w:t xml:space="preserve"> percent</w:t>
      </w:r>
      <w:r w:rsidRPr="002C114E">
        <w:rPr>
          <w:rFonts w:eastAsia="Calibri"/>
          <w:szCs w:val="20"/>
        </w:rPr>
        <w:t xml:space="preserve"> elongation</w:t>
      </w:r>
      <w:r>
        <w:rPr>
          <w:rFonts w:eastAsia="Calibri"/>
          <w:szCs w:val="20"/>
        </w:rPr>
        <w:t>)</w:t>
      </w:r>
      <w:r>
        <w:t xml:space="preserve"> and the following:</w:t>
      </w:r>
    </w:p>
    <w:p w14:paraId="23283A9D" w14:textId="77777777" w:rsidR="004350BE" w:rsidRDefault="004350BE" w:rsidP="00C71262">
      <w:pPr>
        <w:pStyle w:val="Indent20"/>
        <w:spacing w:before="0"/>
        <w:contextualSpacing/>
        <w:jc w:val="left"/>
      </w:pPr>
    </w:p>
    <w:p w14:paraId="666FFB41" w14:textId="77777777" w:rsidR="00BA4F38" w:rsidRPr="00906FD6" w:rsidRDefault="00BA4F38" w:rsidP="00C71262">
      <w:pPr>
        <w:pStyle w:val="Indent30"/>
        <w:spacing w:before="0"/>
        <w:contextualSpacing/>
        <w:jc w:val="left"/>
      </w:pPr>
      <w:r w:rsidRPr="002B17AE">
        <w:rPr>
          <w:i/>
          <w:iCs/>
        </w:rPr>
        <w:t>(a)</w:t>
      </w:r>
      <w:r>
        <w:t xml:space="preserve"> Minimum permittivity, ASTM D4491</w:t>
      </w:r>
      <w:r>
        <w:tab/>
      </w:r>
      <w:r>
        <w:tab/>
        <w:t xml:space="preserve">0.5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6A222962" w14:textId="77777777" w:rsidR="004350BE" w:rsidRDefault="004350BE" w:rsidP="00906FD6">
      <w:pPr>
        <w:pStyle w:val="Indent30"/>
        <w:spacing w:before="0"/>
        <w:ind w:left="6480"/>
        <w:contextualSpacing/>
        <w:jc w:val="left"/>
      </w:pPr>
    </w:p>
    <w:p w14:paraId="7106ECE3" w14:textId="7F7FEFDF" w:rsidR="00BA4F38" w:rsidRDefault="00BA4F38" w:rsidP="00C71262">
      <w:pPr>
        <w:pStyle w:val="Indent30"/>
        <w:spacing w:before="0"/>
        <w:contextualSpacing/>
        <w:jc w:val="left"/>
      </w:pPr>
      <w:r w:rsidRPr="002B17AE">
        <w:rPr>
          <w:i/>
          <w:iCs/>
        </w:rPr>
        <w:t>(b)</w:t>
      </w:r>
      <w:r>
        <w:t xml:space="preserve"> Maximum apparent opening size, ASTM D4751</w:t>
      </w:r>
      <w:r>
        <w:tab/>
        <w:t>0.43 mm maximum average</w:t>
      </w:r>
    </w:p>
    <w:p w14:paraId="31BABF78" w14:textId="77777777" w:rsidR="00BA4F38" w:rsidRDefault="00BA4F38" w:rsidP="00C71262">
      <w:pPr>
        <w:pStyle w:val="Indent30"/>
        <w:spacing w:before="0"/>
        <w:ind w:left="6480"/>
        <w:contextualSpacing/>
        <w:jc w:val="left"/>
      </w:pPr>
      <w:r>
        <w:t xml:space="preserve">roll </w:t>
      </w:r>
      <w:proofErr w:type="gramStart"/>
      <w:r>
        <w:t>value</w:t>
      </w:r>
      <w:proofErr w:type="gramEnd"/>
    </w:p>
    <w:p w14:paraId="6BF5FF8B" w14:textId="77777777" w:rsidR="00714357" w:rsidRDefault="00714357" w:rsidP="00C71262">
      <w:pPr>
        <w:pStyle w:val="Indent30"/>
        <w:spacing w:before="0"/>
        <w:ind w:left="6480"/>
        <w:contextualSpacing/>
        <w:jc w:val="left"/>
      </w:pPr>
    </w:p>
    <w:p w14:paraId="645033EF" w14:textId="77777777" w:rsidR="00BA4F38" w:rsidRDefault="00BA4F38" w:rsidP="00C71262">
      <w:pPr>
        <w:pStyle w:val="Indent30"/>
        <w:spacing w:before="0"/>
        <w:ind w:left="720" w:firstLine="360"/>
        <w:contextualSpacing/>
        <w:jc w:val="left"/>
      </w:pPr>
      <w:r w:rsidRPr="002B17AE">
        <w:rPr>
          <w:i/>
          <w:iCs/>
        </w:rPr>
        <w:t>(c)</w:t>
      </w:r>
      <w:r>
        <w:t xml:space="preserve"> Minimum ultraviolet stability, ASTM D4355</w:t>
      </w:r>
      <w:r>
        <w:tab/>
      </w:r>
      <w:r>
        <w:tab/>
        <w:t>50 percent strength retained</w:t>
      </w:r>
    </w:p>
    <w:p w14:paraId="73E553C1" w14:textId="77777777" w:rsidR="00BA4F38" w:rsidRDefault="00BA4F38" w:rsidP="00906FD6">
      <w:pPr>
        <w:pStyle w:val="Indent30"/>
        <w:spacing w:before="0"/>
        <w:ind w:left="6480"/>
        <w:contextualSpacing/>
        <w:jc w:val="left"/>
      </w:pPr>
      <w:r>
        <w:t>after 500 hours of exposure</w:t>
      </w:r>
    </w:p>
    <w:p w14:paraId="10C16D06" w14:textId="77777777" w:rsidR="007927F5" w:rsidRDefault="007927F5" w:rsidP="00C71262">
      <w:pPr>
        <w:pStyle w:val="Indent30"/>
        <w:spacing w:before="0"/>
        <w:ind w:left="6480"/>
        <w:contextualSpacing/>
        <w:jc w:val="left"/>
      </w:pPr>
    </w:p>
    <w:bookmarkEnd w:id="4"/>
    <w:p w14:paraId="44FBF250" w14:textId="05562E43" w:rsidR="00BA4F38" w:rsidRPr="00AF7D8F" w:rsidRDefault="00BA4F38" w:rsidP="00C71262">
      <w:pPr>
        <w:contextualSpacing/>
        <w:rPr>
          <w:i/>
          <w:iCs/>
          <w:vanish/>
        </w:rPr>
      </w:pPr>
      <w:r>
        <w:rPr>
          <w:i/>
          <w:iCs/>
          <w:vanish/>
          <w:highlight w:val="yellow"/>
        </w:rPr>
        <w:t>INCL</w:t>
      </w:r>
      <w:r w:rsidRPr="00F628A4">
        <w:rPr>
          <w:i/>
          <w:iCs/>
          <w:vanish/>
          <w:highlight w:val="yellow"/>
        </w:rPr>
        <w:t>U</w:t>
      </w:r>
      <w:r>
        <w:rPr>
          <w:i/>
          <w:iCs/>
          <w:vanish/>
          <w:highlight w:val="yellow"/>
        </w:rPr>
        <w:t>D</w:t>
      </w:r>
      <w:r w:rsidRPr="00F628A4">
        <w:rPr>
          <w:i/>
          <w:iCs/>
          <w:vanish/>
          <w:highlight w:val="yellow"/>
        </w:rPr>
        <w:t xml:space="preserve">E </w:t>
      </w:r>
      <w:r>
        <w:rPr>
          <w:i/>
          <w:iCs/>
          <w:vanish/>
          <w:highlight w:val="yellow"/>
        </w:rPr>
        <w:t>THE FOLLOWING FOR PROJECTS REQUIRING GEOTEXTILE FILTER</w:t>
      </w:r>
      <w:r w:rsidR="0038488D">
        <w:rPr>
          <w:i/>
          <w:iCs/>
          <w:vanish/>
          <w:highlight w:val="yellow"/>
        </w:rPr>
        <w:t>S</w:t>
      </w:r>
      <w:r>
        <w:rPr>
          <w:i/>
          <w:iCs/>
          <w:vanish/>
          <w:highlight w:val="yellow"/>
        </w:rPr>
        <w:t xml:space="preserve"> WITH 15</w:t>
      </w:r>
      <w:r w:rsidR="001648B9">
        <w:rPr>
          <w:i/>
          <w:iCs/>
          <w:vanish/>
          <w:highlight w:val="yellow"/>
        </w:rPr>
        <w:t xml:space="preserve"> TO 50</w:t>
      </w:r>
      <w:r>
        <w:rPr>
          <w:i/>
          <w:iCs/>
          <w:vanish/>
          <w:highlight w:val="yellow"/>
        </w:rPr>
        <w:t xml:space="preserve"> PERCENT OF IN SITU SOIL PASSING THE NO. 200 SIEVE</w:t>
      </w:r>
      <w:r w:rsidR="00090AC0">
        <w:rPr>
          <w:i/>
          <w:iCs/>
          <w:vanish/>
          <w:highlight w:val="yellow"/>
        </w:rPr>
        <w:t xml:space="preserve"> </w:t>
      </w:r>
      <w:r w:rsidR="00090AC0" w:rsidRPr="00C71262">
        <w:rPr>
          <w:i/>
          <w:iCs/>
          <w:vanish/>
          <w:color w:val="FF0000"/>
          <w:highlight w:val="yellow"/>
        </w:rPr>
        <w:t>(IF CLAUSE ##714.01C IS USED, DO NOT INCLUDE CLAUSES ##714.01B OR ##714.01D)</w:t>
      </w:r>
    </w:p>
    <w:p w14:paraId="5FED8C53" w14:textId="379BE5A4" w:rsidR="00BA4F38" w:rsidRDefault="00BA4F38" w:rsidP="00C71262">
      <w:pPr>
        <w:ind w:hanging="720"/>
        <w:contextualSpacing/>
        <w:rPr>
          <w:vanish/>
        </w:rPr>
      </w:pPr>
      <w:r>
        <w:rPr>
          <w:vanish/>
        </w:rPr>
        <w:t>##</w:t>
      </w:r>
      <w:r w:rsidRPr="003A647B">
        <w:rPr>
          <w:vanish/>
        </w:rPr>
        <w:t>7</w:t>
      </w:r>
      <w:r>
        <w:rPr>
          <w:vanish/>
        </w:rPr>
        <w:t>14</w:t>
      </w:r>
      <w:r w:rsidRPr="003A647B">
        <w:rPr>
          <w:vanish/>
        </w:rPr>
        <w:t>.0</w:t>
      </w:r>
      <w:r>
        <w:rPr>
          <w:vanish/>
        </w:rPr>
        <w:t>1</w:t>
      </w:r>
      <w:r w:rsidR="001648B9">
        <w:rPr>
          <w:vanish/>
        </w:rPr>
        <w:t>C</w:t>
      </w:r>
    </w:p>
    <w:p w14:paraId="27F6D04D" w14:textId="7F8394DA" w:rsidR="001648B9" w:rsidRDefault="001648B9" w:rsidP="00C729A0">
      <w:pPr>
        <w:pStyle w:val="Indent20"/>
        <w:spacing w:before="0"/>
        <w:contextualSpacing/>
        <w:jc w:val="left"/>
      </w:pPr>
      <w:r w:rsidRPr="002B17AE">
        <w:rPr>
          <w:b/>
          <w:bCs/>
        </w:rPr>
        <w:t>(1)</w:t>
      </w:r>
      <w:r w:rsidRPr="00C71262">
        <w:rPr>
          <w:b/>
          <w:bCs/>
        </w:rPr>
        <w:t xml:space="preserve"> </w:t>
      </w:r>
      <w:r w:rsidR="000529B8" w:rsidRPr="00C71262">
        <w:rPr>
          <w:b/>
          <w:bCs/>
        </w:rPr>
        <w:t>Riprap, special rock embankment, rock buttress, and other high survivability applications.</w:t>
      </w:r>
      <w:r w:rsidR="000529B8" w:rsidRPr="00357EEB">
        <w:t xml:space="preserve"> </w:t>
      </w:r>
      <w:r w:rsidRPr="00357EEB">
        <w:t>Conform to AASHTO M 288 Table 1, Class 1</w:t>
      </w:r>
      <w:r>
        <w:t xml:space="preserve"> (either &lt;50 percent elongation or </w:t>
      </w:r>
      <w:r w:rsidRPr="002C114E">
        <w:rPr>
          <w:rFonts w:eastAsia="Calibri"/>
          <w:szCs w:val="20"/>
        </w:rPr>
        <w:t>≥50</w:t>
      </w:r>
      <w:r w:rsidRPr="002C114E">
        <w:rPr>
          <w:rFonts w:eastAsia="Calibri"/>
        </w:rPr>
        <w:t xml:space="preserve"> percent</w:t>
      </w:r>
      <w:r w:rsidRPr="002C114E">
        <w:rPr>
          <w:rFonts w:eastAsia="Calibri"/>
          <w:szCs w:val="20"/>
        </w:rPr>
        <w:t xml:space="preserve"> elongation</w:t>
      </w:r>
      <w:r>
        <w:rPr>
          <w:rFonts w:eastAsia="Calibri"/>
          <w:szCs w:val="20"/>
        </w:rPr>
        <w:t>)</w:t>
      </w:r>
      <w:r>
        <w:t xml:space="preserve"> and the following:</w:t>
      </w:r>
    </w:p>
    <w:p w14:paraId="04B02694" w14:textId="77777777" w:rsidR="001A3629" w:rsidRPr="00357EEB" w:rsidRDefault="001A3629" w:rsidP="00C71262">
      <w:pPr>
        <w:pStyle w:val="Indent20"/>
        <w:spacing w:before="0"/>
        <w:contextualSpacing/>
        <w:jc w:val="left"/>
      </w:pPr>
    </w:p>
    <w:p w14:paraId="42A1F23D" w14:textId="2A6AD2CD" w:rsidR="001648B9" w:rsidRPr="00906FD6" w:rsidRDefault="001648B9" w:rsidP="00C71262">
      <w:pPr>
        <w:pStyle w:val="Indent30"/>
        <w:spacing w:before="0"/>
        <w:contextualSpacing/>
        <w:jc w:val="left"/>
      </w:pPr>
      <w:r w:rsidRPr="002B17AE">
        <w:rPr>
          <w:i/>
        </w:rPr>
        <w:t>(a)</w:t>
      </w:r>
      <w:r>
        <w:t xml:space="preserve"> Minimum permittivity, ASTM D4491</w:t>
      </w:r>
      <w:r>
        <w:tab/>
      </w:r>
      <w:r>
        <w:tab/>
        <w:t xml:space="preserve">0.2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38C35C75" w14:textId="77777777" w:rsidR="001A3629" w:rsidRDefault="001A3629" w:rsidP="00906FD6">
      <w:pPr>
        <w:pStyle w:val="Indent30"/>
        <w:spacing w:before="0"/>
        <w:ind w:left="6480"/>
        <w:contextualSpacing/>
        <w:jc w:val="left"/>
      </w:pPr>
    </w:p>
    <w:p w14:paraId="59D6E6F3" w14:textId="2196FF0D" w:rsidR="001648B9" w:rsidRDefault="001648B9" w:rsidP="00C71262">
      <w:pPr>
        <w:pStyle w:val="Indent30"/>
        <w:spacing w:before="0"/>
        <w:contextualSpacing/>
        <w:jc w:val="left"/>
      </w:pPr>
      <w:r>
        <w:t>(</w:t>
      </w:r>
      <w:r>
        <w:rPr>
          <w:i/>
          <w:iCs/>
        </w:rPr>
        <w:t>b)</w:t>
      </w:r>
      <w:r w:rsidRPr="00A87222">
        <w:t xml:space="preserve"> </w:t>
      </w:r>
      <w:r>
        <w:t>Maximum apparent opening size, ASTM D4751</w:t>
      </w:r>
      <w:r>
        <w:tab/>
        <w:t>0.</w:t>
      </w:r>
      <w:r w:rsidR="00714357">
        <w:t>25</w:t>
      </w:r>
      <w:r>
        <w:t xml:space="preserve"> mm maximum average</w:t>
      </w:r>
    </w:p>
    <w:p w14:paraId="2466DB7C" w14:textId="77777777" w:rsidR="001648B9" w:rsidRDefault="001648B9" w:rsidP="00906FD6">
      <w:pPr>
        <w:pStyle w:val="Indent30"/>
        <w:spacing w:before="0"/>
        <w:ind w:left="6480"/>
        <w:contextualSpacing/>
        <w:jc w:val="left"/>
      </w:pPr>
      <w:r>
        <w:t xml:space="preserve">roll </w:t>
      </w:r>
      <w:proofErr w:type="gramStart"/>
      <w:r>
        <w:t>value</w:t>
      </w:r>
      <w:proofErr w:type="gramEnd"/>
    </w:p>
    <w:p w14:paraId="45785013" w14:textId="77777777" w:rsidR="001A3629" w:rsidRDefault="001A3629" w:rsidP="00C71262">
      <w:pPr>
        <w:pStyle w:val="Indent30"/>
        <w:spacing w:before="0"/>
        <w:ind w:left="6480"/>
        <w:contextualSpacing/>
        <w:jc w:val="left"/>
      </w:pPr>
    </w:p>
    <w:p w14:paraId="18FEEA68" w14:textId="75F274CA" w:rsidR="001648B9" w:rsidRDefault="001648B9" w:rsidP="00C71262">
      <w:pPr>
        <w:pStyle w:val="Indent30"/>
        <w:spacing w:before="0"/>
        <w:contextualSpacing/>
        <w:jc w:val="left"/>
      </w:pPr>
      <w:r w:rsidRPr="002B17AE">
        <w:rPr>
          <w:i/>
        </w:rPr>
        <w:t>(c)</w:t>
      </w:r>
      <w:r>
        <w:t xml:space="preserve"> Minimum ultraviolet stability</w:t>
      </w:r>
      <w:r w:rsidR="006F2FE4">
        <w:t xml:space="preserve">, </w:t>
      </w:r>
      <w:r>
        <w:t>ASTM D4355</w:t>
      </w:r>
      <w:r>
        <w:tab/>
      </w:r>
      <w:r>
        <w:tab/>
        <w:t>50 percent strength retained</w:t>
      </w:r>
    </w:p>
    <w:p w14:paraId="067360C4" w14:textId="67EF944A" w:rsidR="001648B9" w:rsidRDefault="001648B9" w:rsidP="00906FD6">
      <w:pPr>
        <w:pStyle w:val="Indent30"/>
        <w:spacing w:before="0"/>
        <w:ind w:left="6480"/>
        <w:contextualSpacing/>
        <w:jc w:val="left"/>
      </w:pPr>
      <w:r>
        <w:t>after 500 hours of exposure</w:t>
      </w:r>
    </w:p>
    <w:p w14:paraId="17BD372E" w14:textId="77777777" w:rsidR="006F2FE4" w:rsidRDefault="006F2FE4" w:rsidP="00C71262">
      <w:pPr>
        <w:pStyle w:val="Indent30"/>
        <w:spacing w:before="0"/>
        <w:ind w:left="6480"/>
        <w:contextualSpacing/>
        <w:jc w:val="left"/>
      </w:pPr>
    </w:p>
    <w:p w14:paraId="1353EF89" w14:textId="1B813F4D" w:rsidR="001648B9" w:rsidRDefault="001648B9" w:rsidP="00C729A0">
      <w:pPr>
        <w:pStyle w:val="Indent20"/>
        <w:spacing w:before="0"/>
        <w:contextualSpacing/>
        <w:jc w:val="left"/>
      </w:pPr>
      <w:r w:rsidRPr="002B17AE">
        <w:rPr>
          <w:b/>
          <w:bCs/>
        </w:rPr>
        <w:t>(2)</w:t>
      </w:r>
      <w:r w:rsidRPr="00C71262">
        <w:rPr>
          <w:b/>
          <w:bCs/>
        </w:rPr>
        <w:t xml:space="preserve"> </w:t>
      </w:r>
      <w:r w:rsidR="00AB16F8" w:rsidRPr="00C71262">
        <w:rPr>
          <w:b/>
          <w:bCs/>
        </w:rPr>
        <w:t>U</w:t>
      </w:r>
      <w:r w:rsidR="003B51F2" w:rsidRPr="00C71262">
        <w:rPr>
          <w:b/>
          <w:bCs/>
        </w:rPr>
        <w:t>nderdrains and other subsurface drainage applications</w:t>
      </w:r>
      <w:r w:rsidR="00AB16F8" w:rsidRPr="00C71262">
        <w:rPr>
          <w:b/>
          <w:bCs/>
        </w:rPr>
        <w:t>.</w:t>
      </w:r>
      <w:r w:rsidR="003B51F2" w:rsidRPr="00357EEB">
        <w:t xml:space="preserve"> </w:t>
      </w:r>
      <w:r w:rsidRPr="00357EEB">
        <w:t>Conform to AASHTO M 288 Table </w:t>
      </w:r>
      <w:r>
        <w:t>1</w:t>
      </w:r>
      <w:r w:rsidRPr="00357EEB">
        <w:t xml:space="preserve">, Class </w:t>
      </w:r>
      <w:r>
        <w:t xml:space="preserve">2 (either &lt;50 percent elongation or </w:t>
      </w:r>
      <w:r w:rsidRPr="002C114E">
        <w:rPr>
          <w:rFonts w:eastAsia="Calibri"/>
          <w:szCs w:val="20"/>
        </w:rPr>
        <w:t>≥50</w:t>
      </w:r>
      <w:r w:rsidRPr="002C114E">
        <w:rPr>
          <w:rFonts w:eastAsia="Calibri"/>
        </w:rPr>
        <w:t xml:space="preserve"> percent</w:t>
      </w:r>
      <w:r w:rsidRPr="002C114E">
        <w:rPr>
          <w:rFonts w:eastAsia="Calibri"/>
          <w:szCs w:val="20"/>
        </w:rPr>
        <w:t xml:space="preserve"> elongation</w:t>
      </w:r>
      <w:r>
        <w:rPr>
          <w:rFonts w:eastAsia="Calibri"/>
          <w:szCs w:val="20"/>
        </w:rPr>
        <w:t>)</w:t>
      </w:r>
      <w:r>
        <w:t xml:space="preserve"> and the following:</w:t>
      </w:r>
    </w:p>
    <w:p w14:paraId="54E50EB7" w14:textId="77777777" w:rsidR="006F2FE4" w:rsidRDefault="006F2FE4" w:rsidP="00C71262">
      <w:pPr>
        <w:pStyle w:val="Indent20"/>
        <w:spacing w:before="0"/>
        <w:contextualSpacing/>
        <w:jc w:val="left"/>
      </w:pPr>
    </w:p>
    <w:p w14:paraId="16191451" w14:textId="3A6856C7" w:rsidR="001648B9" w:rsidRPr="00906FD6" w:rsidRDefault="001648B9" w:rsidP="00C71262">
      <w:pPr>
        <w:pStyle w:val="Indent30"/>
        <w:spacing w:before="0"/>
        <w:contextualSpacing/>
        <w:jc w:val="left"/>
      </w:pPr>
      <w:r w:rsidRPr="002B17AE">
        <w:rPr>
          <w:i/>
          <w:iCs/>
        </w:rPr>
        <w:t>(a)</w:t>
      </w:r>
      <w:r>
        <w:t xml:space="preserve"> Minimum permittivity, ASTM D4491</w:t>
      </w:r>
      <w:r>
        <w:tab/>
      </w:r>
      <w:r>
        <w:tab/>
        <w:t>0.</w:t>
      </w:r>
      <w:r w:rsidR="00714357">
        <w:t>2</w:t>
      </w:r>
      <w:r>
        <w:t xml:space="preserve">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1E3E8809" w14:textId="77777777" w:rsidR="006F2FE4" w:rsidRDefault="006F2FE4" w:rsidP="00906FD6">
      <w:pPr>
        <w:pStyle w:val="Indent30"/>
        <w:spacing w:before="0"/>
        <w:ind w:left="6480"/>
        <w:contextualSpacing/>
        <w:jc w:val="left"/>
      </w:pPr>
    </w:p>
    <w:p w14:paraId="5B2D2E15" w14:textId="519A0F01" w:rsidR="001648B9" w:rsidRDefault="001648B9" w:rsidP="00C71262">
      <w:pPr>
        <w:pStyle w:val="Indent30"/>
        <w:spacing w:before="0"/>
        <w:contextualSpacing/>
        <w:jc w:val="left"/>
      </w:pPr>
      <w:r w:rsidRPr="002B17AE">
        <w:rPr>
          <w:i/>
          <w:iCs/>
        </w:rPr>
        <w:t>(b)</w:t>
      </w:r>
      <w:r>
        <w:t xml:space="preserve"> Maximum apparent opening size, ASTM D4751</w:t>
      </w:r>
      <w:r>
        <w:tab/>
        <w:t>0.</w:t>
      </w:r>
      <w:r w:rsidR="00714357">
        <w:t>25</w:t>
      </w:r>
      <w:r>
        <w:t xml:space="preserve"> mm maximum average</w:t>
      </w:r>
    </w:p>
    <w:p w14:paraId="6F4DC07B" w14:textId="77777777" w:rsidR="001648B9" w:rsidRDefault="001648B9" w:rsidP="00C71262">
      <w:pPr>
        <w:pStyle w:val="Indent30"/>
        <w:spacing w:before="0"/>
        <w:ind w:left="6480"/>
        <w:contextualSpacing/>
        <w:jc w:val="left"/>
      </w:pPr>
      <w:r>
        <w:t xml:space="preserve">roll </w:t>
      </w:r>
      <w:proofErr w:type="gramStart"/>
      <w:r>
        <w:t>value</w:t>
      </w:r>
      <w:proofErr w:type="gramEnd"/>
    </w:p>
    <w:p w14:paraId="1C6EF581" w14:textId="77777777" w:rsidR="00714357" w:rsidRDefault="00714357" w:rsidP="00C71262">
      <w:pPr>
        <w:pStyle w:val="Indent30"/>
        <w:spacing w:before="0"/>
        <w:ind w:left="6480"/>
        <w:contextualSpacing/>
        <w:jc w:val="left"/>
      </w:pPr>
    </w:p>
    <w:p w14:paraId="14DE1B42" w14:textId="77777777" w:rsidR="001648B9" w:rsidRDefault="001648B9" w:rsidP="00C71262">
      <w:pPr>
        <w:pStyle w:val="Indent30"/>
        <w:spacing w:before="0"/>
        <w:ind w:left="720" w:firstLine="360"/>
        <w:contextualSpacing/>
        <w:jc w:val="left"/>
      </w:pPr>
      <w:r w:rsidRPr="002B17AE">
        <w:rPr>
          <w:i/>
          <w:iCs/>
        </w:rPr>
        <w:t>(c)</w:t>
      </w:r>
      <w:r>
        <w:t xml:space="preserve"> Minimum ultraviolet stability, ASTM D4355</w:t>
      </w:r>
      <w:r>
        <w:tab/>
      </w:r>
      <w:r>
        <w:tab/>
        <w:t>50 percent strength retained</w:t>
      </w:r>
    </w:p>
    <w:p w14:paraId="27C86E19" w14:textId="77777777" w:rsidR="001648B9" w:rsidRDefault="001648B9" w:rsidP="00906FD6">
      <w:pPr>
        <w:pStyle w:val="Indent30"/>
        <w:spacing w:before="0"/>
        <w:ind w:left="6480"/>
        <w:contextualSpacing/>
        <w:jc w:val="left"/>
      </w:pPr>
      <w:r>
        <w:t>after 500 hours of exposure</w:t>
      </w:r>
    </w:p>
    <w:p w14:paraId="3B1B1741" w14:textId="77777777" w:rsidR="004309EC" w:rsidRDefault="004309EC" w:rsidP="00906FD6">
      <w:pPr>
        <w:pStyle w:val="Indent30"/>
        <w:spacing w:before="0"/>
        <w:ind w:left="6480"/>
        <w:contextualSpacing/>
        <w:jc w:val="left"/>
      </w:pPr>
    </w:p>
    <w:p w14:paraId="088BBB88" w14:textId="200BE625" w:rsidR="00714357" w:rsidRPr="00AF7D8F" w:rsidRDefault="00714357" w:rsidP="00C71262">
      <w:pPr>
        <w:contextualSpacing/>
        <w:rPr>
          <w:i/>
          <w:iCs/>
          <w:vanish/>
        </w:rPr>
      </w:pPr>
      <w:r>
        <w:rPr>
          <w:i/>
          <w:iCs/>
          <w:vanish/>
          <w:highlight w:val="yellow"/>
        </w:rPr>
        <w:t>INCL</w:t>
      </w:r>
      <w:r w:rsidRPr="00F628A4">
        <w:rPr>
          <w:i/>
          <w:iCs/>
          <w:vanish/>
          <w:highlight w:val="yellow"/>
        </w:rPr>
        <w:t>U</w:t>
      </w:r>
      <w:r>
        <w:rPr>
          <w:i/>
          <w:iCs/>
          <w:vanish/>
          <w:highlight w:val="yellow"/>
        </w:rPr>
        <w:t>D</w:t>
      </w:r>
      <w:r w:rsidRPr="00F628A4">
        <w:rPr>
          <w:i/>
          <w:iCs/>
          <w:vanish/>
          <w:highlight w:val="yellow"/>
        </w:rPr>
        <w:t xml:space="preserve">E </w:t>
      </w:r>
      <w:r>
        <w:rPr>
          <w:i/>
          <w:iCs/>
          <w:vanish/>
          <w:highlight w:val="yellow"/>
        </w:rPr>
        <w:t>THE FOLLOWING FOR PROJECTS REQUIRING GEOTEXTILE FILTER</w:t>
      </w:r>
      <w:r w:rsidR="0038488D">
        <w:rPr>
          <w:i/>
          <w:iCs/>
          <w:vanish/>
          <w:highlight w:val="yellow"/>
        </w:rPr>
        <w:t>S</w:t>
      </w:r>
      <w:r>
        <w:rPr>
          <w:i/>
          <w:iCs/>
          <w:vanish/>
          <w:highlight w:val="yellow"/>
        </w:rPr>
        <w:t xml:space="preserve"> WITH &gt;50 PERCENT OF IN SITU SOIL PASSING THE NO. 200 SIEVE</w:t>
      </w:r>
      <w:r w:rsidR="00090AC0">
        <w:rPr>
          <w:i/>
          <w:iCs/>
          <w:vanish/>
          <w:highlight w:val="yellow"/>
        </w:rPr>
        <w:t xml:space="preserve"> </w:t>
      </w:r>
      <w:r w:rsidR="00090AC0" w:rsidRPr="00C71262">
        <w:rPr>
          <w:i/>
          <w:iCs/>
          <w:vanish/>
          <w:color w:val="FF0000"/>
          <w:highlight w:val="yellow"/>
        </w:rPr>
        <w:t>(IF CLAUSE ##714.01D IS USED, DO NOT INCLUDE CLAUSES ##714.01B OR ##714.01C)</w:t>
      </w:r>
    </w:p>
    <w:p w14:paraId="73A60AEC" w14:textId="6F85E492" w:rsidR="00714357" w:rsidRPr="00BA4F38" w:rsidRDefault="00714357" w:rsidP="00C71262">
      <w:pPr>
        <w:ind w:hanging="720"/>
        <w:contextualSpacing/>
        <w:rPr>
          <w:vanish/>
        </w:rPr>
      </w:pPr>
      <w:r>
        <w:rPr>
          <w:vanish/>
        </w:rPr>
        <w:t>##</w:t>
      </w:r>
      <w:r w:rsidRPr="003A647B">
        <w:rPr>
          <w:vanish/>
        </w:rPr>
        <w:t>7</w:t>
      </w:r>
      <w:r>
        <w:rPr>
          <w:vanish/>
        </w:rPr>
        <w:t>14</w:t>
      </w:r>
      <w:r w:rsidRPr="003A647B">
        <w:rPr>
          <w:vanish/>
        </w:rPr>
        <w:t>.0</w:t>
      </w:r>
      <w:r>
        <w:rPr>
          <w:vanish/>
        </w:rPr>
        <w:t>1D</w:t>
      </w:r>
    </w:p>
    <w:p w14:paraId="43FDFA9E" w14:textId="3C0BCC6E" w:rsidR="00714357" w:rsidRDefault="00714357" w:rsidP="00C729A0">
      <w:pPr>
        <w:pStyle w:val="Indent20"/>
        <w:spacing w:before="0"/>
        <w:contextualSpacing/>
        <w:jc w:val="left"/>
      </w:pPr>
      <w:r w:rsidRPr="002B17AE">
        <w:rPr>
          <w:b/>
          <w:bCs/>
        </w:rPr>
        <w:t>(1)</w:t>
      </w:r>
      <w:r w:rsidRPr="00C71262">
        <w:rPr>
          <w:b/>
          <w:bCs/>
        </w:rPr>
        <w:t xml:space="preserve"> </w:t>
      </w:r>
      <w:r w:rsidR="00AB16F8" w:rsidRPr="00C71262">
        <w:rPr>
          <w:b/>
          <w:bCs/>
        </w:rPr>
        <w:t>Riprap, special rock embankment, rock buttress, and other high survivability applications.</w:t>
      </w:r>
      <w:r w:rsidR="00AB16F8" w:rsidRPr="00357EEB">
        <w:t xml:space="preserve"> </w:t>
      </w:r>
      <w:r w:rsidRPr="00357EEB">
        <w:t>Conform to AASHTO M 288 Table 1, Class 1</w:t>
      </w:r>
      <w:r>
        <w:t xml:space="preserve"> (either &lt;50 percent elongation or </w:t>
      </w:r>
      <w:r w:rsidRPr="002C114E">
        <w:rPr>
          <w:rFonts w:eastAsia="Calibri"/>
          <w:szCs w:val="20"/>
        </w:rPr>
        <w:t>≥50</w:t>
      </w:r>
      <w:r w:rsidRPr="002C114E">
        <w:rPr>
          <w:rFonts w:eastAsia="Calibri"/>
        </w:rPr>
        <w:t xml:space="preserve"> percent</w:t>
      </w:r>
      <w:r w:rsidRPr="002C114E">
        <w:rPr>
          <w:rFonts w:eastAsia="Calibri"/>
          <w:szCs w:val="20"/>
        </w:rPr>
        <w:t xml:space="preserve"> elongation</w:t>
      </w:r>
      <w:r>
        <w:rPr>
          <w:rFonts w:eastAsia="Calibri"/>
          <w:szCs w:val="20"/>
        </w:rPr>
        <w:t>)</w:t>
      </w:r>
      <w:r>
        <w:t xml:space="preserve"> and the following:</w:t>
      </w:r>
    </w:p>
    <w:p w14:paraId="46E9A7E8" w14:textId="77777777" w:rsidR="0032676C" w:rsidRPr="00357EEB" w:rsidRDefault="0032676C" w:rsidP="00C71262">
      <w:pPr>
        <w:pStyle w:val="Indent20"/>
        <w:spacing w:before="0"/>
        <w:contextualSpacing/>
        <w:jc w:val="left"/>
      </w:pPr>
    </w:p>
    <w:p w14:paraId="0184550C" w14:textId="412B31EC" w:rsidR="00714357" w:rsidRPr="00906FD6" w:rsidRDefault="00714357" w:rsidP="00C71262">
      <w:pPr>
        <w:pStyle w:val="Indent30"/>
        <w:spacing w:before="0"/>
        <w:contextualSpacing/>
        <w:jc w:val="left"/>
      </w:pPr>
      <w:r w:rsidRPr="002B17AE">
        <w:rPr>
          <w:i/>
        </w:rPr>
        <w:t>(a)</w:t>
      </w:r>
      <w:r>
        <w:t xml:space="preserve"> Minimum permittivity, ASTM D4491</w:t>
      </w:r>
      <w:r>
        <w:tab/>
      </w:r>
      <w:r>
        <w:tab/>
        <w:t xml:space="preserve">0.1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361A6F8C" w14:textId="77777777" w:rsidR="0032676C" w:rsidRDefault="0032676C" w:rsidP="00906FD6">
      <w:pPr>
        <w:pStyle w:val="Indent30"/>
        <w:spacing w:before="0"/>
        <w:ind w:left="6480"/>
        <w:contextualSpacing/>
        <w:jc w:val="left"/>
      </w:pPr>
    </w:p>
    <w:p w14:paraId="4CBF5213" w14:textId="3321E351" w:rsidR="00714357" w:rsidRDefault="00714357" w:rsidP="00C71262">
      <w:pPr>
        <w:pStyle w:val="Indent30"/>
        <w:spacing w:before="0"/>
        <w:contextualSpacing/>
        <w:jc w:val="left"/>
      </w:pPr>
      <w:r>
        <w:t>(</w:t>
      </w:r>
      <w:r>
        <w:rPr>
          <w:i/>
          <w:iCs/>
        </w:rPr>
        <w:t>b)</w:t>
      </w:r>
      <w:r w:rsidRPr="00906FD6">
        <w:t xml:space="preserve"> </w:t>
      </w:r>
      <w:r>
        <w:t>Maximum apparent opening size, ASTM D4751</w:t>
      </w:r>
      <w:r>
        <w:tab/>
        <w:t>0.22 mm maximum average</w:t>
      </w:r>
    </w:p>
    <w:p w14:paraId="62BC7CE4" w14:textId="77777777" w:rsidR="00714357" w:rsidRDefault="00714357" w:rsidP="00906FD6">
      <w:pPr>
        <w:pStyle w:val="Indent30"/>
        <w:spacing w:before="0"/>
        <w:ind w:left="6480"/>
        <w:contextualSpacing/>
        <w:jc w:val="left"/>
      </w:pPr>
      <w:r>
        <w:t xml:space="preserve">roll </w:t>
      </w:r>
      <w:proofErr w:type="gramStart"/>
      <w:r>
        <w:t>value</w:t>
      </w:r>
      <w:proofErr w:type="gramEnd"/>
    </w:p>
    <w:p w14:paraId="2575FD9C" w14:textId="77777777" w:rsidR="0032676C" w:rsidRDefault="0032676C" w:rsidP="00C71262">
      <w:pPr>
        <w:pStyle w:val="Indent30"/>
        <w:spacing w:before="0"/>
        <w:ind w:left="6480"/>
        <w:contextualSpacing/>
        <w:jc w:val="left"/>
      </w:pPr>
    </w:p>
    <w:p w14:paraId="741021E6" w14:textId="2BAE7DF1" w:rsidR="00714357" w:rsidRDefault="00714357" w:rsidP="00C71262">
      <w:pPr>
        <w:pStyle w:val="Indent30"/>
        <w:spacing w:before="0"/>
        <w:contextualSpacing/>
        <w:jc w:val="left"/>
      </w:pPr>
      <w:r w:rsidRPr="002B17AE">
        <w:rPr>
          <w:i/>
        </w:rPr>
        <w:t>(c)</w:t>
      </w:r>
      <w:r>
        <w:t xml:space="preserve"> Minimum ultraviolet stability</w:t>
      </w:r>
      <w:r w:rsidR="00E40938">
        <w:t xml:space="preserve">, </w:t>
      </w:r>
      <w:r>
        <w:t>ASTM D4355</w:t>
      </w:r>
      <w:r>
        <w:tab/>
      </w:r>
      <w:r>
        <w:tab/>
        <w:t>50 percent strength retained</w:t>
      </w:r>
    </w:p>
    <w:p w14:paraId="29F1640D" w14:textId="72A1F2E2" w:rsidR="00714357" w:rsidRDefault="00714357" w:rsidP="00906FD6">
      <w:pPr>
        <w:pStyle w:val="Indent30"/>
        <w:spacing w:before="0"/>
        <w:ind w:left="6480"/>
        <w:contextualSpacing/>
        <w:jc w:val="left"/>
      </w:pPr>
      <w:r>
        <w:t>after 500 hours of exposure</w:t>
      </w:r>
    </w:p>
    <w:p w14:paraId="42963A54" w14:textId="77777777" w:rsidR="00E40938" w:rsidRDefault="00E40938" w:rsidP="00C71262">
      <w:pPr>
        <w:pStyle w:val="Indent30"/>
        <w:spacing w:before="0"/>
        <w:ind w:left="6480"/>
        <w:contextualSpacing/>
        <w:jc w:val="left"/>
      </w:pPr>
    </w:p>
    <w:p w14:paraId="2C9804FD" w14:textId="3024DA4F" w:rsidR="00714357" w:rsidRDefault="00714357" w:rsidP="00C729A0">
      <w:pPr>
        <w:pStyle w:val="Indent20"/>
        <w:spacing w:before="0"/>
        <w:contextualSpacing/>
        <w:jc w:val="left"/>
      </w:pPr>
      <w:r w:rsidRPr="002B17AE">
        <w:rPr>
          <w:b/>
          <w:bCs/>
        </w:rPr>
        <w:t>(2)</w:t>
      </w:r>
      <w:r w:rsidRPr="00C71262">
        <w:rPr>
          <w:b/>
          <w:bCs/>
        </w:rPr>
        <w:t xml:space="preserve"> </w:t>
      </w:r>
      <w:r w:rsidR="00AB16F8" w:rsidRPr="00C71262">
        <w:rPr>
          <w:b/>
          <w:bCs/>
        </w:rPr>
        <w:t>Underdrains and other subsurface drainage applications.</w:t>
      </w:r>
      <w:r w:rsidR="00AB16F8" w:rsidRPr="00357EEB">
        <w:t xml:space="preserve"> </w:t>
      </w:r>
      <w:r w:rsidRPr="00357EEB">
        <w:t>Conform to AASHTO M 288 Table </w:t>
      </w:r>
      <w:r>
        <w:t>1</w:t>
      </w:r>
      <w:r w:rsidRPr="00357EEB">
        <w:t xml:space="preserve">, Class </w:t>
      </w:r>
      <w:r>
        <w:t xml:space="preserve">2 (either &lt;50 percent elongation or </w:t>
      </w:r>
      <w:r w:rsidRPr="002C114E">
        <w:rPr>
          <w:rFonts w:eastAsia="Calibri"/>
          <w:szCs w:val="20"/>
        </w:rPr>
        <w:t>≥50</w:t>
      </w:r>
      <w:r w:rsidRPr="002C114E">
        <w:rPr>
          <w:rFonts w:eastAsia="Calibri"/>
        </w:rPr>
        <w:t xml:space="preserve"> percent</w:t>
      </w:r>
      <w:r w:rsidRPr="002C114E">
        <w:rPr>
          <w:rFonts w:eastAsia="Calibri"/>
          <w:szCs w:val="20"/>
        </w:rPr>
        <w:t xml:space="preserve"> elongation</w:t>
      </w:r>
      <w:r>
        <w:rPr>
          <w:rFonts w:eastAsia="Calibri"/>
          <w:szCs w:val="20"/>
        </w:rPr>
        <w:t>)</w:t>
      </w:r>
      <w:r>
        <w:t xml:space="preserve"> and the following:</w:t>
      </w:r>
    </w:p>
    <w:p w14:paraId="4F1A9B32" w14:textId="77777777" w:rsidR="00E40938" w:rsidRDefault="00E40938" w:rsidP="00C71262">
      <w:pPr>
        <w:pStyle w:val="Indent20"/>
        <w:spacing w:before="0"/>
        <w:contextualSpacing/>
        <w:jc w:val="left"/>
      </w:pPr>
    </w:p>
    <w:p w14:paraId="5F043593" w14:textId="4F1E776E" w:rsidR="00714357" w:rsidRPr="00906FD6" w:rsidRDefault="00714357" w:rsidP="00C71262">
      <w:pPr>
        <w:pStyle w:val="Indent30"/>
        <w:spacing w:before="0"/>
        <w:contextualSpacing/>
        <w:jc w:val="left"/>
      </w:pPr>
      <w:r w:rsidRPr="002B17AE">
        <w:rPr>
          <w:i/>
          <w:iCs/>
        </w:rPr>
        <w:t>(a)</w:t>
      </w:r>
      <w:r>
        <w:t xml:space="preserve"> Minimum permittivity, ASTM D4491</w:t>
      </w:r>
      <w:r>
        <w:tab/>
      </w:r>
      <w:r>
        <w:tab/>
        <w:t xml:space="preserve">0.1 </w:t>
      </w:r>
      <w:proofErr w:type="gramStart"/>
      <w:r>
        <w:t>sec</w:t>
      </w:r>
      <w:r>
        <w:rPr>
          <w:vertAlign w:val="superscript"/>
        </w:rPr>
        <w:t>-1</w:t>
      </w:r>
      <w:proofErr w:type="gramEnd"/>
    </w:p>
    <w:p w14:paraId="1F22E2F8" w14:textId="77777777" w:rsidR="00E40938" w:rsidRDefault="00E40938" w:rsidP="00906FD6">
      <w:pPr>
        <w:pStyle w:val="Indent30"/>
        <w:spacing w:before="0"/>
        <w:ind w:left="6480"/>
        <w:contextualSpacing/>
        <w:jc w:val="left"/>
      </w:pPr>
    </w:p>
    <w:p w14:paraId="3F88362C" w14:textId="41BD884E" w:rsidR="00714357" w:rsidRDefault="00714357" w:rsidP="00C71262">
      <w:pPr>
        <w:pStyle w:val="Indent30"/>
        <w:spacing w:before="0"/>
        <w:contextualSpacing/>
        <w:jc w:val="left"/>
      </w:pPr>
      <w:r w:rsidRPr="002B17AE">
        <w:rPr>
          <w:i/>
          <w:iCs/>
        </w:rPr>
        <w:t>(b)</w:t>
      </w:r>
      <w:r>
        <w:t xml:space="preserve"> Maximum apparent opening size, ASTM D4751</w:t>
      </w:r>
      <w:r>
        <w:tab/>
        <w:t>0.22 mm maximum average</w:t>
      </w:r>
    </w:p>
    <w:p w14:paraId="679313CB" w14:textId="77777777" w:rsidR="00714357" w:rsidRDefault="00714357" w:rsidP="00C71262">
      <w:pPr>
        <w:pStyle w:val="Indent30"/>
        <w:spacing w:before="0"/>
        <w:ind w:left="6480"/>
        <w:contextualSpacing/>
        <w:jc w:val="left"/>
      </w:pPr>
      <w:r>
        <w:t xml:space="preserve">roll </w:t>
      </w:r>
      <w:proofErr w:type="gramStart"/>
      <w:r>
        <w:t>value</w:t>
      </w:r>
      <w:proofErr w:type="gramEnd"/>
    </w:p>
    <w:p w14:paraId="261B059F" w14:textId="77777777" w:rsidR="00714357" w:rsidRDefault="00714357" w:rsidP="00C71262">
      <w:pPr>
        <w:pStyle w:val="Indent30"/>
        <w:spacing w:before="0"/>
        <w:ind w:left="6480"/>
        <w:contextualSpacing/>
        <w:jc w:val="left"/>
      </w:pPr>
    </w:p>
    <w:p w14:paraId="106B3C79" w14:textId="77777777" w:rsidR="00714357" w:rsidRDefault="00714357" w:rsidP="00C71262">
      <w:pPr>
        <w:pStyle w:val="Indent30"/>
        <w:spacing w:before="0"/>
        <w:ind w:left="720" w:firstLine="360"/>
        <w:contextualSpacing/>
        <w:jc w:val="left"/>
      </w:pPr>
      <w:r w:rsidRPr="002B17AE">
        <w:rPr>
          <w:i/>
          <w:iCs/>
        </w:rPr>
        <w:t>(c)</w:t>
      </w:r>
      <w:r>
        <w:t xml:space="preserve"> Minimum ultraviolet stability, ASTM D4355</w:t>
      </w:r>
      <w:r>
        <w:tab/>
      </w:r>
      <w:r>
        <w:tab/>
        <w:t>50 percent strength retained</w:t>
      </w:r>
    </w:p>
    <w:p w14:paraId="7CFBACBE" w14:textId="77777777" w:rsidR="00714357" w:rsidRDefault="00714357" w:rsidP="00906FD6">
      <w:pPr>
        <w:pStyle w:val="Indent30"/>
        <w:spacing w:before="0"/>
        <w:ind w:left="6480"/>
        <w:contextualSpacing/>
        <w:jc w:val="left"/>
      </w:pPr>
      <w:r>
        <w:t>after 500 hours of exposure</w:t>
      </w:r>
    </w:p>
    <w:p w14:paraId="75EBCB37" w14:textId="77777777" w:rsidR="00E40938" w:rsidRDefault="00E40938" w:rsidP="00906FD6">
      <w:pPr>
        <w:pStyle w:val="Indent30"/>
        <w:spacing w:before="0"/>
        <w:ind w:left="6480"/>
        <w:contextualSpacing/>
        <w:jc w:val="left"/>
      </w:pPr>
    </w:p>
    <w:p w14:paraId="3AFF7A81" w14:textId="45683650" w:rsidR="00B57736" w:rsidRPr="00C71262" w:rsidRDefault="002F2306" w:rsidP="00C71262">
      <w:pPr>
        <w:contextualSpacing/>
        <w:rPr>
          <w:i/>
          <w:iCs/>
          <w:vanish/>
        </w:rPr>
      </w:pPr>
      <w:r w:rsidRPr="00C71262">
        <w:rPr>
          <w:i/>
          <w:iCs/>
          <w:vanish/>
          <w:highlight w:val="yellow"/>
        </w:rPr>
        <w:t xml:space="preserve">INCLUDE THE FOLLOWING FOR </w:t>
      </w:r>
      <w:r w:rsidR="004D3ADB" w:rsidRPr="00C71262">
        <w:rPr>
          <w:i/>
          <w:iCs/>
          <w:vanish/>
          <w:highlight w:val="yellow"/>
        </w:rPr>
        <w:t>SUB</w:t>
      </w:r>
      <w:r w:rsidRPr="00C71262">
        <w:rPr>
          <w:i/>
          <w:iCs/>
          <w:vanish/>
          <w:highlight w:val="yellow"/>
        </w:rPr>
        <w:t>GR</w:t>
      </w:r>
      <w:r w:rsidR="004D3ADB" w:rsidRPr="00C71262">
        <w:rPr>
          <w:i/>
          <w:iCs/>
          <w:vanish/>
          <w:highlight w:val="yellow"/>
        </w:rPr>
        <w:t>AD</w:t>
      </w:r>
      <w:r w:rsidRPr="00C71262">
        <w:rPr>
          <w:i/>
          <w:iCs/>
          <w:vanish/>
          <w:highlight w:val="yellow"/>
        </w:rPr>
        <w:t>E</w:t>
      </w:r>
      <w:r w:rsidR="004D3ADB" w:rsidRPr="00C71262">
        <w:rPr>
          <w:i/>
          <w:iCs/>
          <w:vanish/>
          <w:highlight w:val="yellow"/>
        </w:rPr>
        <w:t xml:space="preserve"> STABILIZATION GEOTEXTILE WHEN VERY SOFT/WEAK SUBGRADES REQUIRE A PRODUCT WITH HIGHER REINFORCEMENT STRENGTH THAN A TYPICAL SOIL STABILIZATION GEOTEXTILE -VERIFY WITH GEOTECH IF THE CLAUSE IS APPROPRIATE TO USE</w:t>
      </w:r>
    </w:p>
    <w:p w14:paraId="760B7336" w14:textId="2D4682F4" w:rsidR="00973AE9" w:rsidRPr="006D5263" w:rsidRDefault="004D3ADB" w:rsidP="00C71262">
      <w:pPr>
        <w:ind w:hanging="720"/>
        <w:contextualSpacing/>
        <w:rPr>
          <w:vanish/>
        </w:rPr>
      </w:pPr>
      <w:r>
        <w:rPr>
          <w:vanish/>
        </w:rPr>
        <w:t>##</w:t>
      </w:r>
      <w:r w:rsidR="00973AE9" w:rsidRPr="006D5263">
        <w:rPr>
          <w:vanish/>
        </w:rPr>
        <w:t>7</w:t>
      </w:r>
      <w:r>
        <w:rPr>
          <w:vanish/>
        </w:rPr>
        <w:t>14</w:t>
      </w:r>
      <w:r w:rsidR="00973AE9" w:rsidRPr="006D5263">
        <w:rPr>
          <w:vanish/>
        </w:rPr>
        <w:t>.</w:t>
      </w:r>
      <w:r>
        <w:rPr>
          <w:vanish/>
        </w:rPr>
        <w:t>0</w:t>
      </w:r>
      <w:r w:rsidR="00973AE9" w:rsidRPr="006D5263">
        <w:rPr>
          <w:vanish/>
        </w:rPr>
        <w:t>1</w:t>
      </w:r>
      <w:r w:rsidR="00052BD7">
        <w:rPr>
          <w:vanish/>
        </w:rPr>
        <w:t>E</w:t>
      </w:r>
    </w:p>
    <w:p w14:paraId="304FE258" w14:textId="373E7569" w:rsidR="00DA025A" w:rsidRDefault="00DA025A" w:rsidP="00C71262">
      <w:pPr>
        <w:contextualSpacing/>
      </w:pPr>
      <w:r>
        <w:t>7</w:t>
      </w:r>
      <w:r w:rsidR="004D3ADB">
        <w:t>14</w:t>
      </w:r>
      <w:r>
        <w:t>.</w:t>
      </w:r>
      <w:r w:rsidR="004D3ADB">
        <w:t>0</w:t>
      </w:r>
      <w:r>
        <w:t xml:space="preserve">1.  </w:t>
      </w:r>
      <w:r w:rsidR="004D3ADB">
        <w:t xml:space="preserve">Add </w:t>
      </w:r>
      <w:r>
        <w:t>the following:</w:t>
      </w:r>
    </w:p>
    <w:p w14:paraId="03AB0A09" w14:textId="77777777" w:rsidR="00DA025A" w:rsidRPr="00B57736" w:rsidRDefault="00DA025A" w:rsidP="00C71262">
      <w:pPr>
        <w:contextualSpacing/>
      </w:pPr>
    </w:p>
    <w:p w14:paraId="53ACBA5C" w14:textId="4C0B29FC" w:rsidR="00973AE9" w:rsidRDefault="00052BD7" w:rsidP="00C71262">
      <w:pPr>
        <w:ind w:left="360"/>
        <w:contextualSpacing/>
      </w:pPr>
      <w:r>
        <w:rPr>
          <w:b/>
          <w:bCs/>
        </w:rPr>
        <w:t>(e) Sub</w:t>
      </w:r>
      <w:r w:rsidR="00DA025A" w:rsidRPr="6AFC4A87">
        <w:rPr>
          <w:b/>
          <w:bCs/>
        </w:rPr>
        <w:t>gra</w:t>
      </w:r>
      <w:r>
        <w:rPr>
          <w:b/>
          <w:bCs/>
        </w:rPr>
        <w:t>d</w:t>
      </w:r>
      <w:r w:rsidR="00DA025A" w:rsidRPr="6AFC4A87">
        <w:rPr>
          <w:b/>
          <w:bCs/>
        </w:rPr>
        <w:t xml:space="preserve">e </w:t>
      </w:r>
      <w:r>
        <w:rPr>
          <w:b/>
          <w:bCs/>
        </w:rPr>
        <w:t>stabilization geotextile</w:t>
      </w:r>
      <w:r w:rsidR="00DA025A" w:rsidRPr="6AFC4A87">
        <w:rPr>
          <w:b/>
          <w:bCs/>
        </w:rPr>
        <w:t>.</w:t>
      </w:r>
      <w:r w:rsidR="00DA025A">
        <w:t xml:space="preserve">  Conform to AASHTO M </w:t>
      </w:r>
      <w:r>
        <w:t>28</w:t>
      </w:r>
      <w:r w:rsidR="00DA025A">
        <w:t>8,</w:t>
      </w:r>
      <w:r>
        <w:t xml:space="preserve"> Table 12, </w:t>
      </w:r>
      <w:r w:rsidR="00DA025A">
        <w:t xml:space="preserve">Class </w:t>
      </w:r>
      <w:r>
        <w:t>4A.</w:t>
      </w:r>
    </w:p>
    <w:p w14:paraId="24763304" w14:textId="77777777" w:rsidR="00973AE9" w:rsidRPr="00B57736" w:rsidRDefault="00973AE9" w:rsidP="00C71262">
      <w:pPr>
        <w:ind w:left="360"/>
        <w:contextualSpacing/>
      </w:pPr>
    </w:p>
    <w:p w14:paraId="724C68EE" w14:textId="5C767142" w:rsidR="006D5263" w:rsidRPr="006D5263" w:rsidRDefault="006D5263" w:rsidP="00C71262">
      <w:pPr>
        <w:contextualSpacing/>
      </w:pPr>
    </w:p>
    <w:sectPr w:rsidR="006D5263" w:rsidRPr="006D5263" w:rsidSect="00F71A4D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FD8AF" w14:textId="77777777" w:rsidR="00013EF2" w:rsidRDefault="00013EF2">
      <w:r>
        <w:separator/>
      </w:r>
    </w:p>
  </w:endnote>
  <w:endnote w:type="continuationSeparator" w:id="0">
    <w:p w14:paraId="482A02A0" w14:textId="77777777" w:rsidR="00013EF2" w:rsidRDefault="00013EF2">
      <w:r>
        <w:continuationSeparator/>
      </w:r>
    </w:p>
  </w:endnote>
  <w:endnote w:type="continuationNotice" w:id="1">
    <w:p w14:paraId="19AA8AC9" w14:textId="77777777" w:rsidR="00013EF2" w:rsidRDefault="00013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36DFA" w14:textId="77777777" w:rsidR="00013EF2" w:rsidRDefault="00013EF2">
      <w:r>
        <w:separator/>
      </w:r>
    </w:p>
  </w:footnote>
  <w:footnote w:type="continuationSeparator" w:id="0">
    <w:p w14:paraId="73C5E803" w14:textId="77777777" w:rsidR="00013EF2" w:rsidRDefault="00013EF2">
      <w:r>
        <w:continuationSeparator/>
      </w:r>
    </w:p>
  </w:footnote>
  <w:footnote w:type="continuationNotice" w:id="1">
    <w:p w14:paraId="08F6DF24" w14:textId="77777777" w:rsidR="00013EF2" w:rsidRDefault="00013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FCF0" w14:textId="77777777" w:rsidR="00973AE9" w:rsidRPr="00F71A4D" w:rsidRDefault="00973AE9" w:rsidP="00F71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1D47"/>
    <w:multiLevelType w:val="multilevel"/>
    <w:tmpl w:val="ABEA9F94"/>
    <w:lvl w:ilvl="0">
      <w:start w:val="70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396684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F5"/>
    <w:rsid w:val="00005CF2"/>
    <w:rsid w:val="00006C76"/>
    <w:rsid w:val="00007C2B"/>
    <w:rsid w:val="00007D25"/>
    <w:rsid w:val="00013EF2"/>
    <w:rsid w:val="00032DC8"/>
    <w:rsid w:val="00051736"/>
    <w:rsid w:val="000523C6"/>
    <w:rsid w:val="000529B8"/>
    <w:rsid w:val="00052BD7"/>
    <w:rsid w:val="00060E6B"/>
    <w:rsid w:val="000847AF"/>
    <w:rsid w:val="00087549"/>
    <w:rsid w:val="00090AC0"/>
    <w:rsid w:val="0009564C"/>
    <w:rsid w:val="000965D1"/>
    <w:rsid w:val="00096E6A"/>
    <w:rsid w:val="000A2A55"/>
    <w:rsid w:val="000A53A8"/>
    <w:rsid w:val="000A6283"/>
    <w:rsid w:val="000D555A"/>
    <w:rsid w:val="000E236F"/>
    <w:rsid w:val="000F6B1B"/>
    <w:rsid w:val="001121A8"/>
    <w:rsid w:val="0011387C"/>
    <w:rsid w:val="0012362F"/>
    <w:rsid w:val="00146585"/>
    <w:rsid w:val="00156484"/>
    <w:rsid w:val="00163E5B"/>
    <w:rsid w:val="001648B9"/>
    <w:rsid w:val="00166DCF"/>
    <w:rsid w:val="00172F86"/>
    <w:rsid w:val="0017397B"/>
    <w:rsid w:val="00173FD1"/>
    <w:rsid w:val="00175B90"/>
    <w:rsid w:val="00176D2C"/>
    <w:rsid w:val="001800CD"/>
    <w:rsid w:val="0018455C"/>
    <w:rsid w:val="001912BE"/>
    <w:rsid w:val="00195CA3"/>
    <w:rsid w:val="00197BA7"/>
    <w:rsid w:val="001A3629"/>
    <w:rsid w:val="001B1176"/>
    <w:rsid w:val="001B410C"/>
    <w:rsid w:val="001B60AA"/>
    <w:rsid w:val="001B6ECF"/>
    <w:rsid w:val="001B7071"/>
    <w:rsid w:val="001C1691"/>
    <w:rsid w:val="001D1AFF"/>
    <w:rsid w:val="001E2E11"/>
    <w:rsid w:val="001E7D7B"/>
    <w:rsid w:val="002037C0"/>
    <w:rsid w:val="00210FE0"/>
    <w:rsid w:val="00213B8C"/>
    <w:rsid w:val="00222D3D"/>
    <w:rsid w:val="002257A8"/>
    <w:rsid w:val="00233995"/>
    <w:rsid w:val="00233B0E"/>
    <w:rsid w:val="00241D2B"/>
    <w:rsid w:val="00243283"/>
    <w:rsid w:val="002432B3"/>
    <w:rsid w:val="00246BF5"/>
    <w:rsid w:val="00257336"/>
    <w:rsid w:val="0026550F"/>
    <w:rsid w:val="00274741"/>
    <w:rsid w:val="00280347"/>
    <w:rsid w:val="00281C37"/>
    <w:rsid w:val="0028202F"/>
    <w:rsid w:val="00283C04"/>
    <w:rsid w:val="00286799"/>
    <w:rsid w:val="00291AB6"/>
    <w:rsid w:val="002949A3"/>
    <w:rsid w:val="00297AA0"/>
    <w:rsid w:val="002A1618"/>
    <w:rsid w:val="002A3292"/>
    <w:rsid w:val="002A4A18"/>
    <w:rsid w:val="002B4527"/>
    <w:rsid w:val="002B5E0D"/>
    <w:rsid w:val="002C4607"/>
    <w:rsid w:val="002D3BA2"/>
    <w:rsid w:val="002D3FCB"/>
    <w:rsid w:val="002E0677"/>
    <w:rsid w:val="002E1C17"/>
    <w:rsid w:val="002F2306"/>
    <w:rsid w:val="002F4C58"/>
    <w:rsid w:val="002F7974"/>
    <w:rsid w:val="00314549"/>
    <w:rsid w:val="00315835"/>
    <w:rsid w:val="003246DA"/>
    <w:rsid w:val="00324FBF"/>
    <w:rsid w:val="0032676C"/>
    <w:rsid w:val="00341DE5"/>
    <w:rsid w:val="00364ADC"/>
    <w:rsid w:val="00367716"/>
    <w:rsid w:val="00372948"/>
    <w:rsid w:val="00376867"/>
    <w:rsid w:val="00381562"/>
    <w:rsid w:val="003819BD"/>
    <w:rsid w:val="0038488D"/>
    <w:rsid w:val="00390DD5"/>
    <w:rsid w:val="00391182"/>
    <w:rsid w:val="003915C5"/>
    <w:rsid w:val="00395AC2"/>
    <w:rsid w:val="0039759B"/>
    <w:rsid w:val="003A467F"/>
    <w:rsid w:val="003A617A"/>
    <w:rsid w:val="003A647B"/>
    <w:rsid w:val="003B0CF9"/>
    <w:rsid w:val="003B51F2"/>
    <w:rsid w:val="003D3955"/>
    <w:rsid w:val="003E5352"/>
    <w:rsid w:val="003E78DB"/>
    <w:rsid w:val="003F051F"/>
    <w:rsid w:val="003F29C6"/>
    <w:rsid w:val="00411E8A"/>
    <w:rsid w:val="0041403A"/>
    <w:rsid w:val="004309EC"/>
    <w:rsid w:val="004350BE"/>
    <w:rsid w:val="00435D46"/>
    <w:rsid w:val="00436D97"/>
    <w:rsid w:val="0044036D"/>
    <w:rsid w:val="00442849"/>
    <w:rsid w:val="0045605A"/>
    <w:rsid w:val="00457FC4"/>
    <w:rsid w:val="00474AB0"/>
    <w:rsid w:val="00474B00"/>
    <w:rsid w:val="00477302"/>
    <w:rsid w:val="00477C06"/>
    <w:rsid w:val="00483E16"/>
    <w:rsid w:val="004C0E75"/>
    <w:rsid w:val="004C785F"/>
    <w:rsid w:val="004D16DD"/>
    <w:rsid w:val="004D2DA1"/>
    <w:rsid w:val="004D3ADB"/>
    <w:rsid w:val="004E2B3D"/>
    <w:rsid w:val="004E57EA"/>
    <w:rsid w:val="004F0C53"/>
    <w:rsid w:val="00503739"/>
    <w:rsid w:val="00512141"/>
    <w:rsid w:val="00515DEF"/>
    <w:rsid w:val="005167C0"/>
    <w:rsid w:val="005201D8"/>
    <w:rsid w:val="005207D1"/>
    <w:rsid w:val="00522C79"/>
    <w:rsid w:val="0052407E"/>
    <w:rsid w:val="005263C9"/>
    <w:rsid w:val="00533279"/>
    <w:rsid w:val="0053492F"/>
    <w:rsid w:val="005402A2"/>
    <w:rsid w:val="00560DC2"/>
    <w:rsid w:val="00563F55"/>
    <w:rsid w:val="00565BD7"/>
    <w:rsid w:val="00577128"/>
    <w:rsid w:val="00581CF7"/>
    <w:rsid w:val="00586B03"/>
    <w:rsid w:val="00595003"/>
    <w:rsid w:val="005955B8"/>
    <w:rsid w:val="00595DB5"/>
    <w:rsid w:val="00597D74"/>
    <w:rsid w:val="005A1D95"/>
    <w:rsid w:val="005A6834"/>
    <w:rsid w:val="005B1B07"/>
    <w:rsid w:val="005B2CD6"/>
    <w:rsid w:val="005B441F"/>
    <w:rsid w:val="005B5014"/>
    <w:rsid w:val="005B7CCB"/>
    <w:rsid w:val="0061604F"/>
    <w:rsid w:val="006200C2"/>
    <w:rsid w:val="00622E1A"/>
    <w:rsid w:val="006250C4"/>
    <w:rsid w:val="00626E05"/>
    <w:rsid w:val="00635644"/>
    <w:rsid w:val="00642031"/>
    <w:rsid w:val="0065274E"/>
    <w:rsid w:val="00652757"/>
    <w:rsid w:val="0065358C"/>
    <w:rsid w:val="00682ACF"/>
    <w:rsid w:val="006904C2"/>
    <w:rsid w:val="00695CF5"/>
    <w:rsid w:val="006A3A73"/>
    <w:rsid w:val="006A3C20"/>
    <w:rsid w:val="006C067B"/>
    <w:rsid w:val="006C1325"/>
    <w:rsid w:val="006C19B8"/>
    <w:rsid w:val="006C6FBC"/>
    <w:rsid w:val="006C7AEC"/>
    <w:rsid w:val="006D5263"/>
    <w:rsid w:val="006D63E2"/>
    <w:rsid w:val="006D7F5D"/>
    <w:rsid w:val="006E432E"/>
    <w:rsid w:val="006E7F2A"/>
    <w:rsid w:val="006F1876"/>
    <w:rsid w:val="006F2FE4"/>
    <w:rsid w:val="00700BD0"/>
    <w:rsid w:val="007038F6"/>
    <w:rsid w:val="00705544"/>
    <w:rsid w:val="007062D1"/>
    <w:rsid w:val="00713CF0"/>
    <w:rsid w:val="00714357"/>
    <w:rsid w:val="00715A06"/>
    <w:rsid w:val="007343DE"/>
    <w:rsid w:val="00734A0F"/>
    <w:rsid w:val="0074064D"/>
    <w:rsid w:val="00770793"/>
    <w:rsid w:val="00772B15"/>
    <w:rsid w:val="00787509"/>
    <w:rsid w:val="007927F5"/>
    <w:rsid w:val="007A229B"/>
    <w:rsid w:val="007A643D"/>
    <w:rsid w:val="007A7CB0"/>
    <w:rsid w:val="007D1371"/>
    <w:rsid w:val="007E22A5"/>
    <w:rsid w:val="00800278"/>
    <w:rsid w:val="00800538"/>
    <w:rsid w:val="00803FC9"/>
    <w:rsid w:val="00820BA4"/>
    <w:rsid w:val="008211E9"/>
    <w:rsid w:val="00827C4C"/>
    <w:rsid w:val="008345A6"/>
    <w:rsid w:val="008414D5"/>
    <w:rsid w:val="00841F93"/>
    <w:rsid w:val="0084322C"/>
    <w:rsid w:val="00847970"/>
    <w:rsid w:val="00850264"/>
    <w:rsid w:val="008557DB"/>
    <w:rsid w:val="00856D19"/>
    <w:rsid w:val="00857BE6"/>
    <w:rsid w:val="00860C53"/>
    <w:rsid w:val="0086425B"/>
    <w:rsid w:val="008664A6"/>
    <w:rsid w:val="008668C8"/>
    <w:rsid w:val="008720A8"/>
    <w:rsid w:val="008A0F93"/>
    <w:rsid w:val="008A4779"/>
    <w:rsid w:val="008A54E7"/>
    <w:rsid w:val="008A6CED"/>
    <w:rsid w:val="008B2C0C"/>
    <w:rsid w:val="008C08A1"/>
    <w:rsid w:val="008C3A37"/>
    <w:rsid w:val="008C6073"/>
    <w:rsid w:val="008D1BD6"/>
    <w:rsid w:val="008D761D"/>
    <w:rsid w:val="008F29D4"/>
    <w:rsid w:val="008F7643"/>
    <w:rsid w:val="00900A7A"/>
    <w:rsid w:val="00906FD6"/>
    <w:rsid w:val="009100E4"/>
    <w:rsid w:val="009165F2"/>
    <w:rsid w:val="009240AC"/>
    <w:rsid w:val="00930D41"/>
    <w:rsid w:val="00944CA8"/>
    <w:rsid w:val="00953B1D"/>
    <w:rsid w:val="00960B00"/>
    <w:rsid w:val="00961AEE"/>
    <w:rsid w:val="00962536"/>
    <w:rsid w:val="009633D2"/>
    <w:rsid w:val="00973AE9"/>
    <w:rsid w:val="00974C5C"/>
    <w:rsid w:val="00976FEE"/>
    <w:rsid w:val="00983811"/>
    <w:rsid w:val="00987771"/>
    <w:rsid w:val="00991F8C"/>
    <w:rsid w:val="00993EC4"/>
    <w:rsid w:val="009A2050"/>
    <w:rsid w:val="009A3868"/>
    <w:rsid w:val="009A5AFE"/>
    <w:rsid w:val="009A690A"/>
    <w:rsid w:val="009C2DE6"/>
    <w:rsid w:val="009C6DF9"/>
    <w:rsid w:val="009D32C8"/>
    <w:rsid w:val="009D6234"/>
    <w:rsid w:val="009E0499"/>
    <w:rsid w:val="009E104B"/>
    <w:rsid w:val="009F2813"/>
    <w:rsid w:val="00A05323"/>
    <w:rsid w:val="00A147CB"/>
    <w:rsid w:val="00A17E63"/>
    <w:rsid w:val="00A36C50"/>
    <w:rsid w:val="00A44BF7"/>
    <w:rsid w:val="00A52F23"/>
    <w:rsid w:val="00A757CB"/>
    <w:rsid w:val="00A83EAA"/>
    <w:rsid w:val="00A87222"/>
    <w:rsid w:val="00A9271F"/>
    <w:rsid w:val="00A94450"/>
    <w:rsid w:val="00A96F64"/>
    <w:rsid w:val="00AA2583"/>
    <w:rsid w:val="00AA3504"/>
    <w:rsid w:val="00AA7B6A"/>
    <w:rsid w:val="00AB0787"/>
    <w:rsid w:val="00AB16F8"/>
    <w:rsid w:val="00AC623E"/>
    <w:rsid w:val="00AD4EFF"/>
    <w:rsid w:val="00AE6A48"/>
    <w:rsid w:val="00AE7C82"/>
    <w:rsid w:val="00AF7D8F"/>
    <w:rsid w:val="00B0023A"/>
    <w:rsid w:val="00B01027"/>
    <w:rsid w:val="00B05A75"/>
    <w:rsid w:val="00B06DD9"/>
    <w:rsid w:val="00B15284"/>
    <w:rsid w:val="00B154C9"/>
    <w:rsid w:val="00B222D7"/>
    <w:rsid w:val="00B36A2A"/>
    <w:rsid w:val="00B4141C"/>
    <w:rsid w:val="00B57736"/>
    <w:rsid w:val="00B66EE4"/>
    <w:rsid w:val="00B81064"/>
    <w:rsid w:val="00B8621E"/>
    <w:rsid w:val="00B87160"/>
    <w:rsid w:val="00B87516"/>
    <w:rsid w:val="00BA2D32"/>
    <w:rsid w:val="00BA4F38"/>
    <w:rsid w:val="00BB7B46"/>
    <w:rsid w:val="00BC27A5"/>
    <w:rsid w:val="00BE3DFD"/>
    <w:rsid w:val="00BF2C57"/>
    <w:rsid w:val="00C03DF5"/>
    <w:rsid w:val="00C07FBC"/>
    <w:rsid w:val="00C103A7"/>
    <w:rsid w:val="00C3203D"/>
    <w:rsid w:val="00C37D15"/>
    <w:rsid w:val="00C42842"/>
    <w:rsid w:val="00C456AA"/>
    <w:rsid w:val="00C46983"/>
    <w:rsid w:val="00C50654"/>
    <w:rsid w:val="00C51473"/>
    <w:rsid w:val="00C52F90"/>
    <w:rsid w:val="00C53688"/>
    <w:rsid w:val="00C54267"/>
    <w:rsid w:val="00C56F2D"/>
    <w:rsid w:val="00C6707B"/>
    <w:rsid w:val="00C67DB4"/>
    <w:rsid w:val="00C71262"/>
    <w:rsid w:val="00C71E9A"/>
    <w:rsid w:val="00C729A0"/>
    <w:rsid w:val="00C74B95"/>
    <w:rsid w:val="00C92E4E"/>
    <w:rsid w:val="00C95EEE"/>
    <w:rsid w:val="00C96B47"/>
    <w:rsid w:val="00C9764D"/>
    <w:rsid w:val="00CA3FD7"/>
    <w:rsid w:val="00CB6925"/>
    <w:rsid w:val="00CC4D58"/>
    <w:rsid w:val="00CC6F15"/>
    <w:rsid w:val="00CD4C00"/>
    <w:rsid w:val="00CE1594"/>
    <w:rsid w:val="00CF23DA"/>
    <w:rsid w:val="00D07FF2"/>
    <w:rsid w:val="00D42ECD"/>
    <w:rsid w:val="00D51E8B"/>
    <w:rsid w:val="00D651C1"/>
    <w:rsid w:val="00D66244"/>
    <w:rsid w:val="00D702C5"/>
    <w:rsid w:val="00D768D0"/>
    <w:rsid w:val="00D77AEB"/>
    <w:rsid w:val="00D864E2"/>
    <w:rsid w:val="00D90921"/>
    <w:rsid w:val="00D929A2"/>
    <w:rsid w:val="00D93363"/>
    <w:rsid w:val="00DA025A"/>
    <w:rsid w:val="00DA4980"/>
    <w:rsid w:val="00DB2643"/>
    <w:rsid w:val="00DC677E"/>
    <w:rsid w:val="00DC7727"/>
    <w:rsid w:val="00DC7994"/>
    <w:rsid w:val="00DC7B18"/>
    <w:rsid w:val="00DE4DA7"/>
    <w:rsid w:val="00DE5A5B"/>
    <w:rsid w:val="00DE6B1C"/>
    <w:rsid w:val="00DF1BF3"/>
    <w:rsid w:val="00DF26AD"/>
    <w:rsid w:val="00E01776"/>
    <w:rsid w:val="00E12917"/>
    <w:rsid w:val="00E22242"/>
    <w:rsid w:val="00E2509D"/>
    <w:rsid w:val="00E271C8"/>
    <w:rsid w:val="00E40938"/>
    <w:rsid w:val="00E50028"/>
    <w:rsid w:val="00E51819"/>
    <w:rsid w:val="00E62634"/>
    <w:rsid w:val="00E62D5C"/>
    <w:rsid w:val="00E64D26"/>
    <w:rsid w:val="00E81430"/>
    <w:rsid w:val="00E86036"/>
    <w:rsid w:val="00E92958"/>
    <w:rsid w:val="00E93C8C"/>
    <w:rsid w:val="00EA26E7"/>
    <w:rsid w:val="00EA5D0F"/>
    <w:rsid w:val="00EB00B2"/>
    <w:rsid w:val="00EB1443"/>
    <w:rsid w:val="00EC3E78"/>
    <w:rsid w:val="00EC6490"/>
    <w:rsid w:val="00ED1298"/>
    <w:rsid w:val="00ED59E9"/>
    <w:rsid w:val="00EF5BE3"/>
    <w:rsid w:val="00F10687"/>
    <w:rsid w:val="00F13AC7"/>
    <w:rsid w:val="00F13ED2"/>
    <w:rsid w:val="00F142DD"/>
    <w:rsid w:val="00F22627"/>
    <w:rsid w:val="00F2692F"/>
    <w:rsid w:val="00F628A4"/>
    <w:rsid w:val="00F654B9"/>
    <w:rsid w:val="00F71176"/>
    <w:rsid w:val="00F71A4D"/>
    <w:rsid w:val="00F734E4"/>
    <w:rsid w:val="00F83302"/>
    <w:rsid w:val="00F84FB3"/>
    <w:rsid w:val="00F85727"/>
    <w:rsid w:val="00F86B56"/>
    <w:rsid w:val="00F91CCC"/>
    <w:rsid w:val="00F930E9"/>
    <w:rsid w:val="00F9441E"/>
    <w:rsid w:val="00F96C31"/>
    <w:rsid w:val="00FB35B7"/>
    <w:rsid w:val="00FB5026"/>
    <w:rsid w:val="00FB6F6E"/>
    <w:rsid w:val="00FD0EED"/>
    <w:rsid w:val="00FD29EB"/>
    <w:rsid w:val="00FE17F5"/>
    <w:rsid w:val="00FE1884"/>
    <w:rsid w:val="00FE4D71"/>
    <w:rsid w:val="00FF01B5"/>
    <w:rsid w:val="00FF2209"/>
    <w:rsid w:val="04AFF7F7"/>
    <w:rsid w:val="09303903"/>
    <w:rsid w:val="0CC4FA19"/>
    <w:rsid w:val="0EC94AA0"/>
    <w:rsid w:val="11F2AAE5"/>
    <w:rsid w:val="1666F821"/>
    <w:rsid w:val="19EC9637"/>
    <w:rsid w:val="1C2633BC"/>
    <w:rsid w:val="1F748B23"/>
    <w:rsid w:val="26C03950"/>
    <w:rsid w:val="26FB06FA"/>
    <w:rsid w:val="2C207C2F"/>
    <w:rsid w:val="2C87770C"/>
    <w:rsid w:val="3023CB19"/>
    <w:rsid w:val="311B10EF"/>
    <w:rsid w:val="3285F33E"/>
    <w:rsid w:val="33839B0E"/>
    <w:rsid w:val="33FD1763"/>
    <w:rsid w:val="35E96292"/>
    <w:rsid w:val="39C35C0D"/>
    <w:rsid w:val="433DAC73"/>
    <w:rsid w:val="489035EC"/>
    <w:rsid w:val="4A551A88"/>
    <w:rsid w:val="4D710FB3"/>
    <w:rsid w:val="4E0FF890"/>
    <w:rsid w:val="4E1B3BB4"/>
    <w:rsid w:val="4EA30775"/>
    <w:rsid w:val="4F48A474"/>
    <w:rsid w:val="500AEDA9"/>
    <w:rsid w:val="5152DC76"/>
    <w:rsid w:val="5250D0A6"/>
    <w:rsid w:val="5D839FFF"/>
    <w:rsid w:val="5FF7A94A"/>
    <w:rsid w:val="60CFA5F1"/>
    <w:rsid w:val="623FD198"/>
    <w:rsid w:val="64A88E88"/>
    <w:rsid w:val="68EFFEE9"/>
    <w:rsid w:val="6AFC4A87"/>
    <w:rsid w:val="6DEBCD2C"/>
    <w:rsid w:val="6F5A62E5"/>
    <w:rsid w:val="70C61A98"/>
    <w:rsid w:val="750C6A6A"/>
    <w:rsid w:val="753438B2"/>
    <w:rsid w:val="76143553"/>
    <w:rsid w:val="767A72D3"/>
    <w:rsid w:val="76A6B59E"/>
    <w:rsid w:val="79D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9A3F7"/>
  <w15:docId w15:val="{79715D83-43AD-4740-B0C6-4DF1BC95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F269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92F"/>
  </w:style>
  <w:style w:type="paragraph" w:styleId="CommentSubject">
    <w:name w:val="annotation subject"/>
    <w:basedOn w:val="CommentText"/>
    <w:next w:val="CommentText"/>
    <w:link w:val="CommentSubjectChar"/>
    <w:rsid w:val="00F2692F"/>
    <w:rPr>
      <w:b/>
      <w:bCs/>
    </w:rPr>
  </w:style>
  <w:style w:type="character" w:customStyle="1" w:styleId="CommentSubjectChar">
    <w:name w:val="Comment Subject Char"/>
    <w:link w:val="CommentSubject"/>
    <w:rsid w:val="00F2692F"/>
    <w:rPr>
      <w:b/>
      <w:bCs/>
    </w:rPr>
  </w:style>
  <w:style w:type="paragraph" w:styleId="BalloonText">
    <w:name w:val="Balloon Text"/>
    <w:basedOn w:val="Normal"/>
    <w:link w:val="BalloonTextChar"/>
    <w:rsid w:val="00F26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2F"/>
    <w:rPr>
      <w:rFonts w:ascii="Tahoma" w:hAnsi="Tahoma" w:cs="Tahoma"/>
      <w:sz w:val="16"/>
      <w:szCs w:val="16"/>
    </w:rPr>
  </w:style>
  <w:style w:type="character" w:styleId="Hyperlink">
    <w:name w:val="Hyperlink"/>
    <w:rsid w:val="009A3868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rsid w:val="00483E16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695CF5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8668C8"/>
    <w:rPr>
      <w:color w:val="605E5C"/>
      <w:shd w:val="clear" w:color="auto" w:fill="E1DFDD"/>
    </w:rPr>
  </w:style>
  <w:style w:type="paragraph" w:customStyle="1" w:styleId="Indent20">
    <w:name w:val="Indent 2"/>
    <w:basedOn w:val="BodyText"/>
    <w:qFormat/>
    <w:rsid w:val="00BA4F38"/>
    <w:pPr>
      <w:widowControl/>
      <w:tabs>
        <w:tab w:val="clear" w:pos="600"/>
        <w:tab w:val="clear" w:pos="1080"/>
        <w:tab w:val="clear" w:pos="1560"/>
        <w:tab w:val="clear" w:pos="2040"/>
        <w:tab w:val="clear" w:pos="2520"/>
        <w:tab w:val="clear" w:pos="3000"/>
        <w:tab w:val="clear" w:pos="3480"/>
        <w:tab w:val="clear" w:pos="3960"/>
        <w:tab w:val="clear" w:pos="4440"/>
        <w:tab w:val="clear" w:pos="4920"/>
        <w:tab w:val="clear" w:pos="5400"/>
        <w:tab w:val="clear" w:pos="5880"/>
        <w:tab w:val="clear" w:pos="6360"/>
        <w:tab w:val="clear" w:pos="6840"/>
        <w:tab w:val="clear" w:pos="7320"/>
        <w:tab w:val="clear" w:pos="7800"/>
        <w:tab w:val="clear" w:pos="8280"/>
        <w:tab w:val="clear" w:pos="8760"/>
      </w:tabs>
      <w:autoSpaceDE/>
      <w:autoSpaceDN/>
      <w:spacing w:before="240"/>
      <w:ind w:left="720"/>
      <w:jc w:val="both"/>
    </w:pPr>
    <w:rPr>
      <w:i w:val="0"/>
      <w:iCs w:val="0"/>
    </w:rPr>
  </w:style>
  <w:style w:type="paragraph" w:customStyle="1" w:styleId="Indent30">
    <w:name w:val="Indent 3"/>
    <w:basedOn w:val="BodyText"/>
    <w:qFormat/>
    <w:rsid w:val="00BA4F38"/>
    <w:pPr>
      <w:widowControl/>
      <w:tabs>
        <w:tab w:val="clear" w:pos="600"/>
        <w:tab w:val="clear" w:pos="1080"/>
        <w:tab w:val="clear" w:pos="1560"/>
        <w:tab w:val="clear" w:pos="2040"/>
        <w:tab w:val="clear" w:pos="2520"/>
        <w:tab w:val="clear" w:pos="3000"/>
        <w:tab w:val="clear" w:pos="3480"/>
        <w:tab w:val="clear" w:pos="3960"/>
        <w:tab w:val="clear" w:pos="4440"/>
        <w:tab w:val="clear" w:pos="4920"/>
        <w:tab w:val="clear" w:pos="5400"/>
        <w:tab w:val="clear" w:pos="5880"/>
        <w:tab w:val="clear" w:pos="6360"/>
        <w:tab w:val="clear" w:pos="6840"/>
        <w:tab w:val="clear" w:pos="7320"/>
        <w:tab w:val="clear" w:pos="7800"/>
        <w:tab w:val="clear" w:pos="8280"/>
        <w:tab w:val="clear" w:pos="8760"/>
      </w:tabs>
      <w:autoSpaceDE/>
      <w:autoSpaceDN/>
      <w:spacing w:before="180"/>
      <w:ind w:left="1080"/>
      <w:jc w:val="both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BDF7E-60A0-4B27-A53A-45DC1D821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93314-A779-4973-94F8-6C2517069D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E9124-7625-4E93-9385-F9C535FF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77725-11B3-4BAC-A7C8-437944E5F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703</vt:lpstr>
    </vt:vector>
  </TitlesOfParts>
  <Company>fhwa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703</dc:title>
  <dc:subject>FP14 LOS</dc:subject>
  <dc:creator>FHWA</dc:creator>
  <cp:keywords/>
  <cp:lastModifiedBy>Arnold, Steve (FHWA)</cp:lastModifiedBy>
  <cp:revision>206</cp:revision>
  <cp:lastPrinted>2024-07-03T00:35:00Z</cp:lastPrinted>
  <dcterms:created xsi:type="dcterms:W3CDTF">2020-12-01T01:06:00Z</dcterms:created>
  <dcterms:modified xsi:type="dcterms:W3CDTF">2024-11-08T17:31:00Z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