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49EF" w14:textId="776E79AC" w:rsidR="00FB2A72" w:rsidRDefault="00AC7DF7" w:rsidP="00FB2A72">
      <w:pPr>
        <w:pStyle w:val="PlainText"/>
        <w:jc w:val="right"/>
        <w:rPr>
          <w:rFonts w:ascii="Times New Roman" w:eastAsia="MS Mincho" w:hAnsi="Times New Roman"/>
          <w:vanish/>
        </w:rPr>
      </w:pPr>
      <w:bookmarkStart w:id="0" w:name="_Hlk138338234"/>
      <w:r>
        <w:rPr>
          <w:rFonts w:ascii="Times New Roman" w:eastAsia="MS Mincho" w:hAnsi="Times New Roman"/>
          <w:vanish/>
        </w:rPr>
        <w:t>08</w:t>
      </w:r>
      <w:r w:rsidR="00FB2A72">
        <w:rPr>
          <w:rFonts w:ascii="Times New Roman" w:eastAsia="MS Mincho" w:hAnsi="Times New Roman"/>
          <w:vanish/>
        </w:rPr>
        <w:t>/</w:t>
      </w:r>
      <w:r>
        <w:rPr>
          <w:rFonts w:ascii="Times New Roman" w:eastAsia="MS Mincho" w:hAnsi="Times New Roman"/>
          <w:vanish/>
        </w:rPr>
        <w:t>26</w:t>
      </w:r>
      <w:r w:rsidR="00FB2A72">
        <w:rPr>
          <w:rFonts w:ascii="Times New Roman" w:eastAsia="MS Mincho" w:hAnsi="Times New Roman"/>
          <w:vanish/>
        </w:rPr>
        <w:t>/20</w:t>
      </w:r>
      <w:r w:rsidR="000D0072">
        <w:rPr>
          <w:rFonts w:ascii="Times New Roman" w:eastAsia="MS Mincho" w:hAnsi="Times New Roman"/>
          <w:vanish/>
        </w:rPr>
        <w:t>2</w:t>
      </w:r>
      <w:r w:rsidR="00FB2A72">
        <w:rPr>
          <w:rFonts w:ascii="Times New Roman" w:eastAsia="MS Mincho" w:hAnsi="Times New Roman"/>
          <w:vanish/>
        </w:rPr>
        <w:t>4</w:t>
      </w:r>
    </w:p>
    <w:p w14:paraId="35C64757" w14:textId="7E393CEC" w:rsidR="00FB2A72" w:rsidRDefault="00FB2A72" w:rsidP="00FB2A72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650-</w:t>
      </w:r>
      <w:r w:rsidR="00AC7DF7">
        <w:rPr>
          <w:rFonts w:ascii="Times New Roman" w:eastAsia="MS Mincho" w:hAnsi="Times New Roman"/>
          <w:vanish/>
        </w:rPr>
        <w:t>fp</w:t>
      </w:r>
      <w:r>
        <w:rPr>
          <w:rFonts w:ascii="Times New Roman" w:eastAsia="MS Mincho" w:hAnsi="Times New Roman"/>
          <w:vanish/>
        </w:rPr>
        <w:t>14.docx</w:t>
      </w:r>
    </w:p>
    <w:tbl>
      <w:tblPr>
        <w:tblW w:w="9360" w:type="dxa"/>
        <w:tblInd w:w="108" w:type="dxa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360"/>
      </w:tblGrid>
      <w:tr w:rsidR="00FB2A72" w14:paraId="606130CC" w14:textId="77777777" w:rsidTr="00CC7E14">
        <w:trPr>
          <w:hidden/>
        </w:trPr>
        <w:tc>
          <w:tcPr>
            <w:tcW w:w="9360" w:type="dxa"/>
          </w:tcPr>
          <w:p w14:paraId="12ABB591" w14:textId="77777777" w:rsidR="00FB2A72" w:rsidRDefault="00FB2A72" w:rsidP="00CC7E14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all projects using pay item 65001-1000 </w:t>
            </w:r>
            <w:r w:rsidRPr="00E92B26">
              <w:rPr>
                <w:rFonts w:ascii="Arial" w:eastAsia="MS Mincho" w:hAnsi="Arial" w:cs="Arial"/>
                <w:i/>
                <w:vanish/>
                <w:color w:val="0000FF"/>
              </w:rPr>
              <w:t>Construct and Maintain Diversion</w:t>
            </w:r>
            <w:r>
              <w:rPr>
                <w:rFonts w:ascii="Arial" w:eastAsia="MS Mincho" w:hAnsi="Arial" w:cs="Arial"/>
                <w:i/>
                <w:vanish/>
                <w:color w:val="0000FF"/>
              </w:rPr>
              <w:t xml:space="preserve">.  </w:t>
            </w:r>
            <w:r w:rsidRPr="00BB61AB">
              <w:rPr>
                <w:rFonts w:ascii="Arial" w:eastAsia="MS Mincho" w:hAnsi="Arial" w:cs="Arial"/>
                <w:vanish/>
                <w:color w:val="0000FF"/>
              </w:rPr>
              <w:t>Revise the SCR to fit project-specific requirements.</w:t>
            </w:r>
          </w:p>
        </w:tc>
      </w:tr>
    </w:tbl>
    <w:p w14:paraId="0B99FA00" w14:textId="77777777" w:rsidR="00FB2A72" w:rsidRPr="00E92B26" w:rsidRDefault="00FB2A72" w:rsidP="00FB2A72">
      <w:pPr>
        <w:rPr>
          <w:u w:val="single"/>
        </w:rPr>
      </w:pPr>
      <w:r w:rsidRPr="00E92B26">
        <w:rPr>
          <w:u w:val="single"/>
        </w:rPr>
        <w:t>Add the following Section:</w:t>
      </w:r>
    </w:p>
    <w:p w14:paraId="2D187717" w14:textId="77777777" w:rsidR="00FB2A72" w:rsidRPr="00E92B26" w:rsidRDefault="00FB2A72" w:rsidP="00FB2A72">
      <w:pPr>
        <w:keepNext/>
        <w:spacing w:before="240" w:after="480"/>
        <w:jc w:val="center"/>
        <w:outlineLvl w:val="0"/>
        <w:rPr>
          <w:b/>
          <w:sz w:val="28"/>
        </w:rPr>
      </w:pPr>
      <w:r w:rsidRPr="00E92B26">
        <w:rPr>
          <w:b/>
          <w:sz w:val="28"/>
        </w:rPr>
        <w:t>Section 650. – CONSTRUCT AND MAINTAIN DIVERSION</w:t>
      </w:r>
    </w:p>
    <w:p w14:paraId="738F61F0" w14:textId="77777777" w:rsidR="007B2025" w:rsidRPr="00332C18" w:rsidRDefault="007B2025" w:rsidP="00332C18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Description</w:t>
      </w:r>
    </w:p>
    <w:p w14:paraId="5EAD258D" w14:textId="4F71A845" w:rsidR="007B2025" w:rsidRPr="003C4E6B" w:rsidRDefault="007B2025" w:rsidP="007B2025">
      <w:pPr>
        <w:spacing w:after="240"/>
        <w:rPr>
          <w:rStyle w:val="BodyTextChar"/>
        </w:rPr>
      </w:pPr>
      <w:r w:rsidRPr="003C4E6B">
        <w:rPr>
          <w:rStyle w:val="BodyTextChar"/>
          <w:b/>
          <w:bCs/>
        </w:rPr>
        <w:t>650.01</w:t>
      </w:r>
      <w:r w:rsidRPr="00E92B26">
        <w:rPr>
          <w:b/>
          <w:bCs/>
        </w:rPr>
        <w:t xml:space="preserve"> </w:t>
      </w:r>
      <w:r w:rsidRPr="003C4E6B">
        <w:rPr>
          <w:rStyle w:val="BodyTextChar"/>
        </w:rPr>
        <w:t xml:space="preserve">This work consists of </w:t>
      </w:r>
      <w:r w:rsidR="004872DE">
        <w:rPr>
          <w:rStyle w:val="BodyTextChar"/>
        </w:rPr>
        <w:t xml:space="preserve">designing, </w:t>
      </w:r>
      <w:r w:rsidRPr="003C4E6B">
        <w:rPr>
          <w:rStyle w:val="BodyTextChar"/>
        </w:rPr>
        <w:t>constructing</w:t>
      </w:r>
      <w:r w:rsidR="004872DE">
        <w:rPr>
          <w:rStyle w:val="BodyTextChar"/>
        </w:rPr>
        <w:t>,</w:t>
      </w:r>
      <w:r w:rsidRPr="003C4E6B">
        <w:rPr>
          <w:rStyle w:val="BodyTextChar"/>
        </w:rPr>
        <w:t xml:space="preserve"> maintaining</w:t>
      </w:r>
      <w:r w:rsidR="0085311F">
        <w:rPr>
          <w:rStyle w:val="BodyTextChar"/>
        </w:rPr>
        <w:t>,</w:t>
      </w:r>
      <w:r w:rsidRPr="003C4E6B">
        <w:rPr>
          <w:rStyle w:val="BodyTextChar"/>
        </w:rPr>
        <w:t xml:space="preserve"> a</w:t>
      </w:r>
      <w:r w:rsidR="004872DE">
        <w:rPr>
          <w:rStyle w:val="BodyTextChar"/>
        </w:rPr>
        <w:t>nd removing</w:t>
      </w:r>
      <w:r w:rsidRPr="003C4E6B">
        <w:rPr>
          <w:rStyle w:val="BodyTextChar"/>
        </w:rPr>
        <w:t xml:space="preserve"> </w:t>
      </w:r>
      <w:r w:rsidR="009E62AE">
        <w:rPr>
          <w:rStyle w:val="BodyTextChar"/>
        </w:rPr>
        <w:t>temporary traffic</w:t>
      </w:r>
      <w:r w:rsidR="009E62AE" w:rsidRPr="003C4E6B">
        <w:rPr>
          <w:rStyle w:val="BodyTextChar"/>
        </w:rPr>
        <w:t xml:space="preserve"> </w:t>
      </w:r>
      <w:r w:rsidRPr="003C4E6B">
        <w:rPr>
          <w:rStyle w:val="BodyTextChar"/>
        </w:rPr>
        <w:t>diversion</w:t>
      </w:r>
      <w:r w:rsidR="0085311F">
        <w:rPr>
          <w:rStyle w:val="BodyTextChar"/>
        </w:rPr>
        <w:t>s</w:t>
      </w:r>
      <w:r w:rsidR="000346A6">
        <w:rPr>
          <w:rStyle w:val="BodyTextChar"/>
        </w:rPr>
        <w:t>.</w:t>
      </w:r>
    </w:p>
    <w:p w14:paraId="33868BAF" w14:textId="7215D525" w:rsidR="007B2025" w:rsidRPr="00332C18" w:rsidRDefault="007B2025" w:rsidP="00332C18">
      <w:pPr>
        <w:pStyle w:val="BodyText"/>
        <w:jc w:val="center"/>
        <w:rPr>
          <w:rFonts w:eastAsia="MS Mincho"/>
          <w:b/>
          <w:bCs/>
        </w:rPr>
      </w:pPr>
      <w:r w:rsidRPr="00332C18">
        <w:rPr>
          <w:b/>
          <w:bCs/>
        </w:rPr>
        <w:t>Material</w:t>
      </w:r>
    </w:p>
    <w:p w14:paraId="4BA97CE9" w14:textId="24F8B933" w:rsidR="007B2025" w:rsidRPr="00E92B26" w:rsidRDefault="007B2025" w:rsidP="00E15DBE">
      <w:pPr>
        <w:pStyle w:val="BodyText"/>
        <w:rPr>
          <w:b/>
          <w:bCs/>
          <w:u w:val="single"/>
        </w:rPr>
      </w:pPr>
      <w:r w:rsidRPr="00E92B26">
        <w:rPr>
          <w:b/>
          <w:bCs/>
        </w:rPr>
        <w:t xml:space="preserve">650.02 </w:t>
      </w:r>
      <w:r w:rsidRPr="00E92B26">
        <w:t xml:space="preserve">Conform to the following </w:t>
      </w:r>
      <w:r w:rsidR="000D0072">
        <w:t xml:space="preserve">Sections and </w:t>
      </w:r>
      <w:r w:rsidRPr="00E92B26">
        <w:t>Subsection:</w:t>
      </w:r>
    </w:p>
    <w:p w14:paraId="7CFB3945" w14:textId="77777777" w:rsidR="00FB2A72" w:rsidRPr="001C3976" w:rsidRDefault="00FB2A72" w:rsidP="00FB2A72">
      <w:pPr>
        <w:pStyle w:val="materialslist"/>
        <w:tabs>
          <w:tab w:val="clear" w:pos="5040"/>
          <w:tab w:val="left" w:pos="6480"/>
        </w:tabs>
      </w:pPr>
      <w:r>
        <w:t>Minor crushed a</w:t>
      </w:r>
      <w:r w:rsidRPr="001C3976">
        <w:t>ggregate</w:t>
      </w:r>
      <w:r w:rsidRPr="001C3976">
        <w:tab/>
      </w:r>
      <w:r>
        <w:t>302</w:t>
      </w:r>
    </w:p>
    <w:p w14:paraId="4CD11017" w14:textId="77777777" w:rsidR="00FB2A72" w:rsidRPr="003A33E2" w:rsidRDefault="00FB2A72" w:rsidP="00FB2A72">
      <w:pPr>
        <w:pStyle w:val="materialslist"/>
        <w:tabs>
          <w:tab w:val="clear" w:pos="5040"/>
          <w:tab w:val="left" w:pos="6480"/>
        </w:tabs>
      </w:pPr>
      <w:r w:rsidRPr="003A33E2">
        <w:t>Culverts and drains</w:t>
      </w:r>
      <w:r w:rsidRPr="003A33E2">
        <w:tab/>
        <w:t>602</w:t>
      </w:r>
    </w:p>
    <w:p w14:paraId="3DAFFD7A" w14:textId="7AFDEB50" w:rsidR="007B2025" w:rsidRPr="00E92B26" w:rsidRDefault="007B2025" w:rsidP="000D0072">
      <w:pPr>
        <w:pStyle w:val="BodyText"/>
        <w:tabs>
          <w:tab w:val="clear" w:pos="9900"/>
          <w:tab w:val="left" w:pos="6480"/>
        </w:tabs>
        <w:spacing w:after="120"/>
        <w:ind w:left="360"/>
        <w:rPr>
          <w:rFonts w:eastAsia="MS Mincho"/>
          <w:szCs w:val="24"/>
        </w:rPr>
      </w:pPr>
      <w:r w:rsidRPr="00C94873">
        <w:t>Water</w:t>
      </w:r>
      <w:r w:rsidR="00E15DBE">
        <w:tab/>
      </w:r>
      <w:r w:rsidRPr="00E92B26">
        <w:rPr>
          <w:rFonts w:eastAsia="MS Mincho"/>
          <w:szCs w:val="24"/>
        </w:rPr>
        <w:t>725.01</w:t>
      </w:r>
    </w:p>
    <w:p w14:paraId="239C0A56" w14:textId="674746EC" w:rsidR="007B2025" w:rsidRPr="00332C18" w:rsidRDefault="00B06AED" w:rsidP="00332C18">
      <w:pPr>
        <w:pStyle w:val="BodyText"/>
        <w:jc w:val="center"/>
        <w:rPr>
          <w:b/>
          <w:bCs/>
        </w:rPr>
      </w:pPr>
      <w:r>
        <w:rPr>
          <w:b/>
          <w:bCs/>
        </w:rPr>
        <w:t>Design</w:t>
      </w:r>
      <w:r w:rsidRPr="00332C18">
        <w:rPr>
          <w:b/>
          <w:bCs/>
        </w:rPr>
        <w:t xml:space="preserve"> </w:t>
      </w:r>
      <w:r w:rsidR="007B2025" w:rsidRPr="00332C18">
        <w:rPr>
          <w:b/>
          <w:bCs/>
        </w:rPr>
        <w:t>Requirements</w:t>
      </w:r>
    </w:p>
    <w:p w14:paraId="7FD1E388" w14:textId="709B302F" w:rsidR="00E54711" w:rsidRPr="000D0072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Arial" w:eastAsia="MS Mincho" w:hAnsi="Arial" w:cs="Arial"/>
          <w:vanish/>
          <w:color w:val="0000FF"/>
        </w:rPr>
      </w:pPr>
      <w:bookmarkStart w:id="1" w:name="T157_1"/>
      <w:r w:rsidRPr="000D0072">
        <w:rPr>
          <w:rFonts w:ascii="Arial" w:eastAsia="MS Mincho" w:hAnsi="Arial" w:cs="Arial"/>
          <w:vanish/>
          <w:color w:val="0000FF"/>
        </w:rPr>
        <w:t>Revise yellow highlighted areas below to fit the project-specific conditions. Consider adding more detailed design requirements for curve widening or superelevation for higher speed or higher volume roadways.</w:t>
      </w:r>
    </w:p>
    <w:p w14:paraId="1F67A2D9" w14:textId="147872FD" w:rsidR="002D6B03" w:rsidRDefault="00B50126" w:rsidP="00DC15C7">
      <w:pPr>
        <w:pStyle w:val="BodyText"/>
        <w:widowControl w:val="0"/>
        <w:jc w:val="left"/>
      </w:pPr>
      <w:r>
        <w:rPr>
          <w:b/>
          <w:bCs/>
          <w:szCs w:val="24"/>
        </w:rPr>
        <w:t xml:space="preserve">650.03 </w:t>
      </w:r>
      <w:r w:rsidR="00B24FC8" w:rsidRPr="00DC15C7">
        <w:rPr>
          <w:b/>
          <w:bCs/>
          <w:szCs w:val="24"/>
        </w:rPr>
        <w:t>Design.</w:t>
      </w:r>
      <w:r w:rsidR="00B24FC8">
        <w:rPr>
          <w:szCs w:val="24"/>
        </w:rPr>
        <w:t xml:space="preserve"> </w:t>
      </w:r>
      <w:r w:rsidR="002D6B03">
        <w:rPr>
          <w:szCs w:val="24"/>
        </w:rPr>
        <w:t xml:space="preserve">Design temporary traffic diversions conforming to Table 650-1. </w:t>
      </w:r>
      <w:r w:rsidR="00CF34AF">
        <w:rPr>
          <w:szCs w:val="24"/>
        </w:rPr>
        <w:t xml:space="preserve">Maintain </w:t>
      </w:r>
      <w:r w:rsidR="00CF34AF" w:rsidRPr="00DC15C7">
        <w:rPr>
          <w:szCs w:val="24"/>
          <w:highlight w:val="yellow"/>
        </w:rPr>
        <w:t>alternate one-way or two-way</w:t>
      </w:r>
      <w:r w:rsidR="00CF34AF">
        <w:rPr>
          <w:szCs w:val="24"/>
        </w:rPr>
        <w:t xml:space="preserve"> traffic. </w:t>
      </w:r>
      <w:r w:rsidR="00B24FC8">
        <w:rPr>
          <w:szCs w:val="24"/>
        </w:rPr>
        <w:t>Design t</w:t>
      </w:r>
      <w:r w:rsidR="002D6B03">
        <w:t>emporary traffic diversion</w:t>
      </w:r>
      <w:r w:rsidR="00B24FC8">
        <w:t>s</w:t>
      </w:r>
      <w:r w:rsidR="002D6B03">
        <w:t xml:space="preserve"> </w:t>
      </w:r>
      <w:r w:rsidR="00B24FC8">
        <w:t xml:space="preserve">to </w:t>
      </w:r>
      <w:r w:rsidR="002D6B03">
        <w:t>fit within the construction limits shown in the plans.</w:t>
      </w:r>
    </w:p>
    <w:p w14:paraId="7CD0BE7F" w14:textId="21DC66FC" w:rsidR="00292B6F" w:rsidRPr="00BF2542" w:rsidRDefault="00292B6F" w:rsidP="00292B6F">
      <w:pPr>
        <w:pStyle w:val="BodyText"/>
        <w:widowControl w:val="0"/>
        <w:spacing w:after="0"/>
        <w:jc w:val="center"/>
        <w:rPr>
          <w:b/>
          <w:bCs/>
          <w:sz w:val="22"/>
          <w:szCs w:val="22"/>
        </w:rPr>
      </w:pPr>
      <w:r w:rsidRPr="00BF2542">
        <w:rPr>
          <w:b/>
          <w:bCs/>
          <w:sz w:val="22"/>
          <w:szCs w:val="22"/>
        </w:rPr>
        <w:t>Table 650-1</w:t>
      </w:r>
    </w:p>
    <w:bookmarkEnd w:id="1"/>
    <w:p w14:paraId="6F2911B5" w14:textId="0F47D23C" w:rsidR="00292B6F" w:rsidRPr="00BF2542" w:rsidRDefault="00292B6F" w:rsidP="00292B6F">
      <w:pPr>
        <w:pStyle w:val="BodyText"/>
        <w:widowControl w:val="0"/>
        <w:spacing w:after="0"/>
        <w:ind w:left="360"/>
        <w:jc w:val="center"/>
        <w:rPr>
          <w:sz w:val="22"/>
          <w:szCs w:val="18"/>
        </w:rPr>
      </w:pPr>
      <w:r w:rsidRPr="00BF2542">
        <w:rPr>
          <w:b/>
          <w:bCs/>
          <w:sz w:val="22"/>
          <w:szCs w:val="22"/>
        </w:rPr>
        <w:t>Design Requirements for Temporary Traffic Diversion</w:t>
      </w:r>
    </w:p>
    <w:tbl>
      <w:tblPr>
        <w:tblStyle w:val="TableGrid"/>
        <w:tblW w:w="6840" w:type="dxa"/>
        <w:jc w:val="center"/>
        <w:tblLook w:val="04A0" w:firstRow="1" w:lastRow="0" w:firstColumn="1" w:lastColumn="0" w:noHBand="0" w:noVBand="1"/>
      </w:tblPr>
      <w:tblGrid>
        <w:gridCol w:w="2610"/>
        <w:gridCol w:w="4230"/>
      </w:tblGrid>
      <w:tr w:rsidR="00B24FC8" w:rsidRPr="00BF2542" w14:paraId="5AE04A46" w14:textId="77777777" w:rsidTr="00DC15C7">
        <w:trPr>
          <w:trHeight w:val="395"/>
          <w:jc w:val="center"/>
        </w:trPr>
        <w:tc>
          <w:tcPr>
            <w:tcW w:w="2610" w:type="dxa"/>
            <w:vAlign w:val="center"/>
          </w:tcPr>
          <w:p w14:paraId="67BADBBC" w14:textId="2546CF63" w:rsidR="00B24FC8" w:rsidRPr="00BF2542" w:rsidRDefault="00B24FC8" w:rsidP="00DC15C7">
            <w:pPr>
              <w:pStyle w:val="BodyText"/>
              <w:spacing w:after="0"/>
              <w:jc w:val="center"/>
              <w:rPr>
                <w:b/>
                <w:bCs/>
                <w:sz w:val="18"/>
                <w:szCs w:val="14"/>
              </w:rPr>
            </w:pPr>
            <w:r w:rsidRPr="00BF2542">
              <w:rPr>
                <w:b/>
                <w:bCs/>
                <w:sz w:val="18"/>
                <w:szCs w:val="14"/>
              </w:rPr>
              <w:t>Criteria</w:t>
            </w:r>
          </w:p>
        </w:tc>
        <w:tc>
          <w:tcPr>
            <w:tcW w:w="4230" w:type="dxa"/>
            <w:vAlign w:val="center"/>
          </w:tcPr>
          <w:p w14:paraId="068C9943" w14:textId="4992BEFD" w:rsidR="00B24FC8" w:rsidRPr="00BF2542" w:rsidRDefault="00B24FC8" w:rsidP="00DC15C7">
            <w:pPr>
              <w:pStyle w:val="BodyText"/>
              <w:spacing w:after="0"/>
              <w:jc w:val="center"/>
              <w:rPr>
                <w:b/>
                <w:bCs/>
                <w:sz w:val="18"/>
                <w:szCs w:val="14"/>
                <w:highlight w:val="yellow"/>
              </w:rPr>
            </w:pPr>
            <w:r w:rsidRPr="00BF2542">
              <w:rPr>
                <w:b/>
                <w:bCs/>
                <w:sz w:val="18"/>
                <w:szCs w:val="14"/>
              </w:rPr>
              <w:t>Requirement</w:t>
            </w:r>
          </w:p>
        </w:tc>
      </w:tr>
      <w:tr w:rsidR="00B24FC8" w:rsidRPr="00BF2542" w14:paraId="022D142B" w14:textId="77777777" w:rsidTr="00DC15C7">
        <w:trPr>
          <w:jc w:val="center"/>
        </w:trPr>
        <w:tc>
          <w:tcPr>
            <w:tcW w:w="2610" w:type="dxa"/>
            <w:vAlign w:val="center"/>
          </w:tcPr>
          <w:p w14:paraId="57939A44" w14:textId="59633125" w:rsidR="003915B5" w:rsidRPr="00BF2542" w:rsidRDefault="003915B5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Design speed</w:t>
            </w:r>
          </w:p>
        </w:tc>
        <w:tc>
          <w:tcPr>
            <w:tcW w:w="4230" w:type="dxa"/>
          </w:tcPr>
          <w:p w14:paraId="54920DED" w14:textId="53B2E59C" w:rsidR="003915B5" w:rsidRPr="00BF2542" w:rsidRDefault="003915B5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  <w:highlight w:val="yellow"/>
              </w:rPr>
              <w:t>25</w:t>
            </w:r>
            <w:r w:rsidRPr="00BF2542">
              <w:rPr>
                <w:sz w:val="18"/>
                <w:szCs w:val="14"/>
              </w:rPr>
              <w:t xml:space="preserve"> mph</w:t>
            </w:r>
          </w:p>
        </w:tc>
      </w:tr>
      <w:tr w:rsidR="00B24FC8" w:rsidRPr="00BF2542" w14:paraId="750491C6" w14:textId="77777777" w:rsidTr="00DC15C7">
        <w:trPr>
          <w:jc w:val="center"/>
        </w:trPr>
        <w:tc>
          <w:tcPr>
            <w:tcW w:w="2610" w:type="dxa"/>
            <w:vAlign w:val="center"/>
          </w:tcPr>
          <w:p w14:paraId="166B6BA6" w14:textId="4D5CA87A" w:rsidR="003915B5" w:rsidRPr="00BF2542" w:rsidRDefault="00271A3C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Superelevation</w:t>
            </w:r>
          </w:p>
        </w:tc>
        <w:tc>
          <w:tcPr>
            <w:tcW w:w="4230" w:type="dxa"/>
          </w:tcPr>
          <w:p w14:paraId="320D715C" w14:textId="6B084D9A" w:rsidR="0098727F" w:rsidRPr="00BF2542" w:rsidRDefault="00271A3C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  <w:highlight w:val="yellow"/>
              </w:rPr>
              <w:t>2</w:t>
            </w:r>
            <w:r w:rsidR="00292B6F" w:rsidRPr="00BF2542">
              <w:rPr>
                <w:sz w:val="18"/>
                <w:szCs w:val="14"/>
              </w:rPr>
              <w:t xml:space="preserve"> </w:t>
            </w:r>
            <w:r w:rsidRPr="00BF2542">
              <w:rPr>
                <w:sz w:val="18"/>
                <w:szCs w:val="14"/>
              </w:rPr>
              <w:t xml:space="preserve">% normal crown, </w:t>
            </w:r>
            <w:r w:rsidRPr="00BF2542">
              <w:rPr>
                <w:sz w:val="18"/>
                <w:szCs w:val="14"/>
                <w:highlight w:val="yellow"/>
              </w:rPr>
              <w:t>6</w:t>
            </w:r>
            <w:r w:rsidR="00292B6F" w:rsidRPr="00BF2542">
              <w:rPr>
                <w:sz w:val="18"/>
                <w:szCs w:val="14"/>
              </w:rPr>
              <w:t xml:space="preserve"> </w:t>
            </w:r>
            <w:r w:rsidRPr="00BF2542">
              <w:rPr>
                <w:sz w:val="18"/>
                <w:szCs w:val="14"/>
              </w:rPr>
              <w:t>% maximum</w:t>
            </w:r>
          </w:p>
        </w:tc>
      </w:tr>
      <w:tr w:rsidR="00CF34AF" w:rsidRPr="00BF2542" w14:paraId="0A99EE75" w14:textId="77777777" w:rsidTr="00DC15C7">
        <w:trPr>
          <w:jc w:val="center"/>
        </w:trPr>
        <w:tc>
          <w:tcPr>
            <w:tcW w:w="2610" w:type="dxa"/>
            <w:vAlign w:val="center"/>
          </w:tcPr>
          <w:p w14:paraId="4265E93B" w14:textId="20A3DFD2" w:rsidR="00271A3C" w:rsidRPr="00BF2542" w:rsidRDefault="00292B6F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Lane w</w:t>
            </w:r>
            <w:r w:rsidR="00271A3C" w:rsidRPr="00BF2542">
              <w:rPr>
                <w:sz w:val="18"/>
                <w:szCs w:val="14"/>
              </w:rPr>
              <w:t>idth</w:t>
            </w:r>
          </w:p>
        </w:tc>
        <w:tc>
          <w:tcPr>
            <w:tcW w:w="4230" w:type="dxa"/>
          </w:tcPr>
          <w:p w14:paraId="5AB16542" w14:textId="3665686C" w:rsidR="002D6B03" w:rsidRPr="00BF2542" w:rsidRDefault="00292B6F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See Subsection 156.0</w:t>
            </w:r>
            <w:r w:rsidR="000D0072" w:rsidRPr="00BF2542">
              <w:rPr>
                <w:sz w:val="18"/>
                <w:szCs w:val="14"/>
              </w:rPr>
              <w:t>7</w:t>
            </w:r>
            <w:r w:rsidRPr="00BF2542">
              <w:rPr>
                <w:sz w:val="18"/>
                <w:szCs w:val="14"/>
              </w:rPr>
              <w:t>(</w:t>
            </w:r>
            <w:r w:rsidR="000D0072" w:rsidRPr="00BF2542">
              <w:rPr>
                <w:sz w:val="18"/>
                <w:szCs w:val="14"/>
              </w:rPr>
              <w:t>c</w:t>
            </w:r>
            <w:r w:rsidRPr="00BF2542">
              <w:rPr>
                <w:sz w:val="18"/>
                <w:szCs w:val="14"/>
              </w:rPr>
              <w:t>).</w:t>
            </w:r>
            <w:r w:rsidR="002D6B03" w:rsidRPr="00BF2542">
              <w:rPr>
                <w:sz w:val="18"/>
                <w:szCs w:val="14"/>
              </w:rPr>
              <w:br/>
              <w:t xml:space="preserve">Provide additional width on horizontal curves </w:t>
            </w:r>
            <w:r w:rsidR="00B24FC8" w:rsidRPr="00BF2542">
              <w:rPr>
                <w:sz w:val="18"/>
                <w:szCs w:val="14"/>
              </w:rPr>
              <w:t>as</w:t>
            </w:r>
            <w:r w:rsidR="002D6B03" w:rsidRPr="00BF2542">
              <w:rPr>
                <w:sz w:val="18"/>
                <w:szCs w:val="14"/>
              </w:rPr>
              <w:t xml:space="preserve"> needed to accommodate public traffic.</w:t>
            </w:r>
          </w:p>
        </w:tc>
      </w:tr>
      <w:tr w:rsidR="00B24FC8" w:rsidRPr="00BF2542" w14:paraId="0277777A" w14:textId="77777777" w:rsidTr="00DC15C7">
        <w:trPr>
          <w:jc w:val="center"/>
        </w:trPr>
        <w:tc>
          <w:tcPr>
            <w:tcW w:w="2610" w:type="dxa"/>
            <w:vAlign w:val="center"/>
          </w:tcPr>
          <w:p w14:paraId="6F91F047" w14:textId="2234CB14" w:rsidR="003915B5" w:rsidRPr="00BF2542" w:rsidRDefault="00271A3C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Horizontal curve radius</w:t>
            </w:r>
          </w:p>
        </w:tc>
        <w:tc>
          <w:tcPr>
            <w:tcW w:w="4230" w:type="dxa"/>
          </w:tcPr>
          <w:p w14:paraId="4CBBC216" w14:textId="4B39F98F" w:rsidR="003915B5" w:rsidRPr="00BF2542" w:rsidRDefault="00271A3C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  <w:highlight w:val="yellow"/>
              </w:rPr>
              <w:t>144</w:t>
            </w:r>
            <w:r w:rsidRPr="00BF2542">
              <w:rPr>
                <w:sz w:val="18"/>
                <w:szCs w:val="14"/>
              </w:rPr>
              <w:t xml:space="preserve"> feet</w:t>
            </w:r>
            <w:r w:rsidR="00B24FC8" w:rsidRPr="00BF2542">
              <w:rPr>
                <w:sz w:val="18"/>
                <w:szCs w:val="14"/>
              </w:rPr>
              <w:t xml:space="preserve"> minimum</w:t>
            </w:r>
          </w:p>
        </w:tc>
      </w:tr>
      <w:tr w:rsidR="00292B6F" w:rsidRPr="00BF2542" w14:paraId="7994427E" w14:textId="77777777" w:rsidTr="00DC15C7">
        <w:trPr>
          <w:jc w:val="center"/>
        </w:trPr>
        <w:tc>
          <w:tcPr>
            <w:tcW w:w="2610" w:type="dxa"/>
            <w:vAlign w:val="center"/>
          </w:tcPr>
          <w:p w14:paraId="0FE97D17" w14:textId="1441E82F" w:rsidR="00292B6F" w:rsidRPr="00BF2542" w:rsidRDefault="00292B6F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Vertical grade</w:t>
            </w:r>
          </w:p>
        </w:tc>
        <w:tc>
          <w:tcPr>
            <w:tcW w:w="4230" w:type="dxa"/>
          </w:tcPr>
          <w:p w14:paraId="0B70986D" w14:textId="2D247F66" w:rsidR="00292B6F" w:rsidRPr="00BF2542" w:rsidRDefault="00292B6F" w:rsidP="00DC15C7">
            <w:pPr>
              <w:pStyle w:val="BodyText"/>
              <w:spacing w:after="0"/>
              <w:jc w:val="center"/>
              <w:rPr>
                <w:sz w:val="18"/>
                <w:szCs w:val="14"/>
                <w:highlight w:val="yellow"/>
              </w:rPr>
            </w:pPr>
            <w:r w:rsidRPr="00BF2542">
              <w:rPr>
                <w:sz w:val="18"/>
                <w:szCs w:val="14"/>
                <w:highlight w:val="yellow"/>
              </w:rPr>
              <w:t>11</w:t>
            </w:r>
            <w:r w:rsidRPr="00BF2542">
              <w:rPr>
                <w:sz w:val="18"/>
                <w:szCs w:val="14"/>
              </w:rPr>
              <w:t xml:space="preserve"> %</w:t>
            </w:r>
            <w:r w:rsidR="00B24FC8" w:rsidRPr="00BF2542">
              <w:rPr>
                <w:sz w:val="18"/>
                <w:szCs w:val="14"/>
              </w:rPr>
              <w:t xml:space="preserve"> maximum</w:t>
            </w:r>
          </w:p>
        </w:tc>
      </w:tr>
      <w:tr w:rsidR="00292B6F" w:rsidRPr="00BF2542" w14:paraId="3001368B" w14:textId="77777777" w:rsidTr="00DC15C7">
        <w:trPr>
          <w:jc w:val="center"/>
        </w:trPr>
        <w:tc>
          <w:tcPr>
            <w:tcW w:w="2610" w:type="dxa"/>
            <w:vAlign w:val="center"/>
          </w:tcPr>
          <w:p w14:paraId="4DE45EB0" w14:textId="6631F25D" w:rsidR="00292B6F" w:rsidRPr="00BF2542" w:rsidRDefault="00292B6F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Vertical curve length</w:t>
            </w:r>
          </w:p>
        </w:tc>
        <w:tc>
          <w:tcPr>
            <w:tcW w:w="4230" w:type="dxa"/>
          </w:tcPr>
          <w:p w14:paraId="4D11694B" w14:textId="37993B3A" w:rsidR="00292B6F" w:rsidRPr="00BF2542" w:rsidRDefault="00292B6F" w:rsidP="00DC15C7">
            <w:pPr>
              <w:pStyle w:val="BodyText"/>
              <w:spacing w:after="0"/>
              <w:jc w:val="center"/>
              <w:rPr>
                <w:sz w:val="18"/>
                <w:szCs w:val="14"/>
                <w:highlight w:val="yellow"/>
              </w:rPr>
            </w:pPr>
            <w:r w:rsidRPr="00BF2542">
              <w:rPr>
                <w:sz w:val="18"/>
                <w:szCs w:val="14"/>
                <w:highlight w:val="yellow"/>
              </w:rPr>
              <w:t>50</w:t>
            </w:r>
            <w:r w:rsidRPr="00BF2542">
              <w:rPr>
                <w:sz w:val="18"/>
                <w:szCs w:val="14"/>
              </w:rPr>
              <w:t xml:space="preserve"> feet</w:t>
            </w:r>
            <w:r w:rsidR="00B24FC8" w:rsidRPr="00BF2542">
              <w:rPr>
                <w:sz w:val="18"/>
                <w:szCs w:val="14"/>
              </w:rPr>
              <w:t xml:space="preserve"> minimum</w:t>
            </w:r>
          </w:p>
        </w:tc>
      </w:tr>
      <w:tr w:rsidR="00271A3C" w:rsidRPr="00BF2542" w14:paraId="5C4D420E" w14:textId="77777777" w:rsidTr="00DC15C7">
        <w:trPr>
          <w:jc w:val="center"/>
        </w:trPr>
        <w:tc>
          <w:tcPr>
            <w:tcW w:w="2610" w:type="dxa"/>
            <w:vAlign w:val="center"/>
          </w:tcPr>
          <w:p w14:paraId="5C9479AF" w14:textId="4FF240A3" w:rsidR="00271A3C" w:rsidRPr="00BF2542" w:rsidRDefault="00271A3C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Structural section</w:t>
            </w:r>
          </w:p>
        </w:tc>
        <w:tc>
          <w:tcPr>
            <w:tcW w:w="4230" w:type="dxa"/>
          </w:tcPr>
          <w:p w14:paraId="470D178C" w14:textId="15D25024" w:rsidR="00271A3C" w:rsidRPr="00BF2542" w:rsidRDefault="00271A3C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  <w:highlight w:val="yellow"/>
              </w:rPr>
              <w:t>2 inches asphalt over 4 inches crushed aggregate</w:t>
            </w:r>
          </w:p>
        </w:tc>
      </w:tr>
      <w:tr w:rsidR="00271A3C" w:rsidRPr="00BF2542" w14:paraId="67E3D743" w14:textId="77777777" w:rsidTr="00DC15C7">
        <w:trPr>
          <w:jc w:val="center"/>
        </w:trPr>
        <w:tc>
          <w:tcPr>
            <w:tcW w:w="2610" w:type="dxa"/>
            <w:vAlign w:val="center"/>
          </w:tcPr>
          <w:p w14:paraId="5EDA3FB0" w14:textId="2815471E" w:rsidR="00271A3C" w:rsidRPr="00BF2542" w:rsidRDefault="00271A3C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</w:rPr>
              <w:t>Embankment slope</w:t>
            </w:r>
          </w:p>
        </w:tc>
        <w:tc>
          <w:tcPr>
            <w:tcW w:w="4230" w:type="dxa"/>
          </w:tcPr>
          <w:p w14:paraId="75CA2B16" w14:textId="4A59F28C" w:rsidR="00271A3C" w:rsidRPr="00BF2542" w:rsidRDefault="00271A3C" w:rsidP="00DC15C7">
            <w:pPr>
              <w:pStyle w:val="BodyText"/>
              <w:spacing w:after="0"/>
              <w:jc w:val="center"/>
              <w:rPr>
                <w:sz w:val="18"/>
                <w:szCs w:val="14"/>
              </w:rPr>
            </w:pPr>
            <w:r w:rsidRPr="00BF2542">
              <w:rPr>
                <w:sz w:val="18"/>
                <w:szCs w:val="14"/>
                <w:highlight w:val="yellow"/>
              </w:rPr>
              <w:t>1V:2H</w:t>
            </w:r>
            <w:r w:rsidRPr="00BF2542">
              <w:rPr>
                <w:sz w:val="18"/>
                <w:szCs w:val="14"/>
              </w:rPr>
              <w:t xml:space="preserve"> or flatter</w:t>
            </w:r>
          </w:p>
        </w:tc>
      </w:tr>
    </w:tbl>
    <w:p w14:paraId="57852A6A" w14:textId="77777777" w:rsidR="00B50126" w:rsidRPr="000D0072" w:rsidRDefault="00B50126" w:rsidP="00B50126">
      <w:pPr>
        <w:pStyle w:val="BodyText"/>
        <w:rPr>
          <w:sz w:val="28"/>
          <w:szCs w:val="28"/>
        </w:rPr>
      </w:pPr>
    </w:p>
    <w:p w14:paraId="7710DE21" w14:textId="7E496469" w:rsidR="00B50126" w:rsidRDefault="00B50126" w:rsidP="00B50126">
      <w:pPr>
        <w:pStyle w:val="BodyText"/>
      </w:pPr>
      <w:r w:rsidRPr="00DC15C7">
        <w:rPr>
          <w:b/>
          <w:bCs/>
          <w:szCs w:val="24"/>
        </w:rPr>
        <w:t>650.0</w:t>
      </w:r>
      <w:r>
        <w:rPr>
          <w:b/>
          <w:bCs/>
          <w:szCs w:val="24"/>
        </w:rPr>
        <w:t>4</w:t>
      </w:r>
      <w:r w:rsidRPr="00DC15C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Submittals. </w:t>
      </w:r>
      <w:r w:rsidRPr="005A4CFF">
        <w:t xml:space="preserve">At least 14 days before starting </w:t>
      </w:r>
      <w:r>
        <w:t>temporary traffic</w:t>
      </w:r>
      <w:r w:rsidRPr="005A4CFF">
        <w:t xml:space="preserve"> diversion work, submit the following according to </w:t>
      </w:r>
      <w:r w:rsidRPr="00DC15C7">
        <w:t>Subsection 104.</w:t>
      </w:r>
      <w:r w:rsidR="00FB2A72" w:rsidRPr="00DC15C7">
        <w:t>0</w:t>
      </w:r>
      <w:r w:rsidR="00FB2A72">
        <w:t>3</w:t>
      </w:r>
      <w:r w:rsidRPr="005A4CFF">
        <w:t>:</w:t>
      </w:r>
    </w:p>
    <w:p w14:paraId="5D26896E" w14:textId="77777777" w:rsidR="00B50126" w:rsidRPr="005A4CFF" w:rsidRDefault="00B50126" w:rsidP="00B50126">
      <w:pPr>
        <w:pStyle w:val="BodyText"/>
        <w:numPr>
          <w:ilvl w:val="0"/>
          <w:numId w:val="5"/>
        </w:numPr>
      </w:pPr>
      <w:r>
        <w:t>Plan and profile d</w:t>
      </w:r>
      <w:r w:rsidRPr="005A4CFF">
        <w:t xml:space="preserve">rawings showing the </w:t>
      </w:r>
      <w:r>
        <w:t>horizontal and vertical alignment, superelevation design, edge of roadway, and limits of construction;</w:t>
      </w:r>
    </w:p>
    <w:p w14:paraId="2A731B1A" w14:textId="77777777" w:rsidR="00B50126" w:rsidRDefault="00B50126" w:rsidP="00B50126">
      <w:pPr>
        <w:pStyle w:val="BodyText"/>
        <w:ind w:left="360"/>
      </w:pPr>
      <w:r w:rsidRPr="00DC15C7">
        <w:rPr>
          <w:b/>
          <w:bCs/>
        </w:rPr>
        <w:t>(b)</w:t>
      </w:r>
      <w:r>
        <w:t xml:space="preserve"> Typical section drawing, including structural section information; and</w:t>
      </w:r>
    </w:p>
    <w:p w14:paraId="1CE37BA1" w14:textId="77777777" w:rsidR="00B50126" w:rsidRDefault="00B50126" w:rsidP="00B50126">
      <w:pPr>
        <w:pStyle w:val="BodyText"/>
        <w:widowControl w:val="0"/>
        <w:ind w:left="360"/>
        <w:jc w:val="left"/>
        <w:rPr>
          <w:b/>
          <w:bCs/>
          <w:szCs w:val="24"/>
        </w:rPr>
      </w:pPr>
      <w:r w:rsidRPr="00DC15C7">
        <w:rPr>
          <w:b/>
          <w:bCs/>
        </w:rPr>
        <w:t>(c)</w:t>
      </w:r>
      <w:r>
        <w:t xml:space="preserve"> </w:t>
      </w:r>
      <w:r w:rsidRPr="00DC15C7">
        <w:t>Description of roadway design standards used</w:t>
      </w:r>
      <w:r>
        <w:t>.</w:t>
      </w:r>
    </w:p>
    <w:p w14:paraId="7D3833F4" w14:textId="77777777" w:rsidR="00B06AED" w:rsidRPr="00332C18" w:rsidRDefault="00B06AED" w:rsidP="00B06AED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Construction Requirements</w:t>
      </w:r>
    </w:p>
    <w:p w14:paraId="344556FD" w14:textId="60F0AD14" w:rsidR="007B2025" w:rsidRPr="00A42DB3" w:rsidRDefault="00895116" w:rsidP="00332C18">
      <w:pPr>
        <w:pStyle w:val="BodyText"/>
        <w:rPr>
          <w:b/>
          <w:bCs/>
        </w:rPr>
      </w:pPr>
      <w:r w:rsidRPr="00A42DB3">
        <w:rPr>
          <w:b/>
          <w:bCs/>
        </w:rPr>
        <w:lastRenderedPageBreak/>
        <w:t>650.05 General.</w:t>
      </w:r>
      <w:r w:rsidR="00CC064D">
        <w:rPr>
          <w:b/>
          <w:bCs/>
        </w:rPr>
        <w:t xml:space="preserve"> </w:t>
      </w:r>
      <w:r w:rsidR="007B2025" w:rsidRPr="00E92B26">
        <w:t xml:space="preserve">Complete construction of the </w:t>
      </w:r>
      <w:r w:rsidR="003E5CBF">
        <w:t xml:space="preserve">temporary traffic </w:t>
      </w:r>
      <w:r w:rsidR="007B2025" w:rsidRPr="00E92B26">
        <w:t xml:space="preserve">diversion </w:t>
      </w:r>
      <w:r w:rsidR="00E2631F">
        <w:t>before</w:t>
      </w:r>
      <w:r w:rsidR="007B2025" w:rsidRPr="00E92B26">
        <w:t xml:space="preserve"> use by public traffic</w:t>
      </w:r>
      <w:r w:rsidR="00EE3E36">
        <w:t>.</w:t>
      </w:r>
    </w:p>
    <w:p w14:paraId="1A6FD735" w14:textId="4A4C6A6A" w:rsidR="00E54711" w:rsidRPr="000D0072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Arial" w:eastAsia="MS Mincho" w:hAnsi="Arial" w:cs="Arial"/>
          <w:vanish/>
          <w:color w:val="0000FF"/>
        </w:rPr>
      </w:pPr>
      <w:r w:rsidRPr="000D0072">
        <w:rPr>
          <w:rFonts w:ascii="Arial" w:eastAsia="MS Mincho" w:hAnsi="Arial" w:cs="Arial"/>
          <w:vanish/>
          <w:color w:val="0000FF"/>
        </w:rPr>
        <w:t>Delete the yellow highlighted sentence if the temporary traffic diversion does not need to be paved.</w:t>
      </w:r>
    </w:p>
    <w:p w14:paraId="63270844" w14:textId="609DFAFE" w:rsidR="007B2025" w:rsidRDefault="007B2025" w:rsidP="00332C18">
      <w:pPr>
        <w:pStyle w:val="BodyText"/>
      </w:pPr>
      <w:r w:rsidRPr="00E92B26">
        <w:t xml:space="preserve">Install erosion </w:t>
      </w:r>
      <w:r>
        <w:t xml:space="preserve">and sediment </w:t>
      </w:r>
      <w:r w:rsidRPr="00E92B26">
        <w:t>control devices according to Section 157.</w:t>
      </w:r>
      <w:r>
        <w:t xml:space="preserve"> </w:t>
      </w:r>
      <w:r w:rsidR="00EE3E36">
        <w:t>If required, c</w:t>
      </w:r>
      <w:r w:rsidR="00A35B6A">
        <w:t>onstruct temporary</w:t>
      </w:r>
      <w:r w:rsidR="00FE5879">
        <w:t xml:space="preserve"> stream diversion according to Section </w:t>
      </w:r>
      <w:r w:rsidR="00FB2A72">
        <w:t>157</w:t>
      </w:r>
      <w:r w:rsidR="00FE5879">
        <w:t>.</w:t>
      </w:r>
      <w:r w:rsidR="00A35B6A">
        <w:t xml:space="preserve"> </w:t>
      </w:r>
      <w:r w:rsidR="00DC15C7">
        <w:t>Perform earthwork a</w:t>
      </w:r>
      <w:r w:rsidRPr="00E92B26">
        <w:t>ccording to Section 204.</w:t>
      </w:r>
      <w:r w:rsidR="00E2631F">
        <w:t xml:space="preserve"> Place crushed aggregate according to Section 302.</w:t>
      </w:r>
      <w:r w:rsidR="002E4214">
        <w:t xml:space="preserve"> </w:t>
      </w:r>
      <w:r w:rsidR="00D52256" w:rsidRPr="00E54711">
        <w:rPr>
          <w:highlight w:val="yellow"/>
        </w:rPr>
        <w:t>Place asphalt according to Section 403.</w:t>
      </w:r>
    </w:p>
    <w:p w14:paraId="6B75092B" w14:textId="77777777" w:rsidR="007B2025" w:rsidRPr="00E92B26" w:rsidRDefault="007B2025" w:rsidP="00332C18">
      <w:pPr>
        <w:pStyle w:val="BodyText"/>
      </w:pPr>
      <w:r>
        <w:t>Provide t</w:t>
      </w:r>
      <w:r w:rsidRPr="00E92B26">
        <w:t xml:space="preserve">emporary </w:t>
      </w:r>
      <w:r>
        <w:t>t</w:t>
      </w:r>
      <w:r w:rsidRPr="00E92B26">
        <w:t xml:space="preserve">raffic </w:t>
      </w:r>
      <w:r>
        <w:t>c</w:t>
      </w:r>
      <w:r w:rsidRPr="00E92B26">
        <w:t>ontrol according to Section 635.</w:t>
      </w:r>
    </w:p>
    <w:p w14:paraId="03EDA91E" w14:textId="296ECAD8" w:rsidR="007B2025" w:rsidRPr="00E92B26" w:rsidRDefault="007B2025" w:rsidP="00332C18">
      <w:pPr>
        <w:pStyle w:val="BodyText"/>
      </w:pPr>
      <w:r w:rsidRPr="00E92B26">
        <w:rPr>
          <w:b/>
          <w:bCs/>
        </w:rPr>
        <w:t>650.0</w:t>
      </w:r>
      <w:r w:rsidR="00ED7C2F">
        <w:rPr>
          <w:b/>
          <w:bCs/>
        </w:rPr>
        <w:t>6</w:t>
      </w:r>
      <w:r w:rsidRPr="00E92B26">
        <w:rPr>
          <w:b/>
          <w:bCs/>
        </w:rPr>
        <w:t xml:space="preserve"> Maintenance.</w:t>
      </w:r>
      <w:r>
        <w:rPr>
          <w:b/>
          <w:bCs/>
        </w:rPr>
        <w:t xml:space="preserve"> </w:t>
      </w:r>
      <w:r w:rsidRPr="00E92B26">
        <w:t xml:space="preserve">Maintain the </w:t>
      </w:r>
      <w:r w:rsidR="003E5CBF">
        <w:t xml:space="preserve">temporary traffic </w:t>
      </w:r>
      <w:r w:rsidRPr="00E92B26">
        <w:t>diversion</w:t>
      </w:r>
      <w:r w:rsidR="00D52256">
        <w:t xml:space="preserve">, including </w:t>
      </w:r>
      <w:r w:rsidR="002C3481">
        <w:t>erosion and sediment control and temporary traffic control,</w:t>
      </w:r>
      <w:r w:rsidRPr="00E92B26">
        <w:t xml:space="preserve"> the entire time it can be </w:t>
      </w:r>
      <w:r>
        <w:t>used</w:t>
      </w:r>
      <w:r w:rsidRPr="00E92B26">
        <w:t xml:space="preserve"> </w:t>
      </w:r>
      <w:r>
        <w:t xml:space="preserve">for </w:t>
      </w:r>
      <w:r w:rsidRPr="00E92B26">
        <w:t>public traffic.</w:t>
      </w:r>
      <w:r>
        <w:t xml:space="preserve"> </w:t>
      </w:r>
    </w:p>
    <w:p w14:paraId="537C6DBE" w14:textId="27B2BD03" w:rsidR="00587B02" w:rsidRPr="00A42DB3" w:rsidRDefault="007B2025" w:rsidP="00332C18">
      <w:pPr>
        <w:pStyle w:val="BodyText"/>
        <w:rPr>
          <w:i/>
          <w:iCs/>
        </w:rPr>
      </w:pPr>
      <w:r>
        <w:rPr>
          <w:b/>
          <w:bCs/>
        </w:rPr>
        <w:t>650.0</w:t>
      </w:r>
      <w:r w:rsidR="00ED7C2F">
        <w:rPr>
          <w:b/>
          <w:bCs/>
        </w:rPr>
        <w:t>7</w:t>
      </w:r>
      <w:r>
        <w:rPr>
          <w:b/>
          <w:bCs/>
        </w:rPr>
        <w:t xml:space="preserve"> Removal. </w:t>
      </w:r>
      <w:r w:rsidRPr="00E92B26">
        <w:t xml:space="preserve">Remove the </w:t>
      </w:r>
      <w:r w:rsidR="003E5CBF">
        <w:t xml:space="preserve">temporary traffic </w:t>
      </w:r>
      <w:r>
        <w:t>diversion</w:t>
      </w:r>
      <w:r w:rsidRPr="00E92B26">
        <w:t xml:space="preserve"> </w:t>
      </w:r>
      <w:r w:rsidR="002C3481">
        <w:t xml:space="preserve">to approximate </w:t>
      </w:r>
      <w:r w:rsidR="005E76CC" w:rsidRPr="00DC15C7">
        <w:t>original or planned contours</w:t>
      </w:r>
      <w:r w:rsidR="005E76CC">
        <w:t xml:space="preserve"> </w:t>
      </w:r>
      <w:r w:rsidRPr="00E92B26">
        <w:t xml:space="preserve">once the mainline is open to the public </w:t>
      </w:r>
      <w:r>
        <w:t>and can accommodate</w:t>
      </w:r>
      <w:r w:rsidRPr="00E92B26">
        <w:t xml:space="preserve"> </w:t>
      </w:r>
      <w:r>
        <w:t xml:space="preserve">two-way </w:t>
      </w:r>
      <w:r w:rsidRPr="00E92B26">
        <w:t>traffic.</w:t>
      </w:r>
      <w:r w:rsidR="002C3481">
        <w:t xml:space="preserve"> </w:t>
      </w:r>
      <w:r w:rsidR="00587B02" w:rsidRPr="00FC61E3">
        <w:t xml:space="preserve">Dispose of unsuitable or excess material according to </w:t>
      </w:r>
      <w:hyperlink w:anchor="_Toc131713276" w:history="1">
        <w:r w:rsidR="00FB2A72" w:rsidRPr="00FB2A72">
          <w:t>Subsection</w:t>
        </w:r>
        <w:r w:rsidR="00FB2A72">
          <w:t xml:space="preserve"> </w:t>
        </w:r>
        <w:r w:rsidR="00FB2A72" w:rsidRPr="00FB2A72">
          <w:t>203.0</w:t>
        </w:r>
        <w:r w:rsidR="00FB2A72">
          <w:t>5</w:t>
        </w:r>
      </w:hyperlink>
      <w:r w:rsidR="00587B02" w:rsidRPr="00FB2A72">
        <w:rPr>
          <w:rStyle w:val="Hyperlink"/>
          <w:color w:val="auto"/>
          <w:u w:val="none"/>
        </w:rPr>
        <w:t>.</w:t>
      </w:r>
    </w:p>
    <w:p w14:paraId="1D8A2D8E" w14:textId="047FE070" w:rsidR="007B2025" w:rsidRDefault="007B2025" w:rsidP="00332C18">
      <w:pPr>
        <w:pStyle w:val="BodyText"/>
      </w:pPr>
      <w:r>
        <w:rPr>
          <w:b/>
          <w:bCs/>
        </w:rPr>
        <w:t>650.0</w:t>
      </w:r>
      <w:r w:rsidR="00ED7C2F">
        <w:rPr>
          <w:b/>
          <w:bCs/>
        </w:rPr>
        <w:t>8</w:t>
      </w:r>
      <w:r>
        <w:rPr>
          <w:b/>
          <w:bCs/>
        </w:rPr>
        <w:t xml:space="preserve"> Acceptance. </w:t>
      </w:r>
      <w:r w:rsidR="00757C77" w:rsidRPr="00DC15C7">
        <w:t>Design</w:t>
      </w:r>
      <w:r w:rsidR="00757C77">
        <w:t>, c</w:t>
      </w:r>
      <w:r w:rsidRPr="00E92B26">
        <w:t>onstructi</w:t>
      </w:r>
      <w:r w:rsidR="0085311F">
        <w:t xml:space="preserve">on, </w:t>
      </w:r>
      <w:r w:rsidRPr="00E92B26">
        <w:t>maint</w:t>
      </w:r>
      <w:r w:rsidR="0085311F">
        <w:t>enance</w:t>
      </w:r>
      <w:r w:rsidR="00072085">
        <w:t>, and remov</w:t>
      </w:r>
      <w:r w:rsidR="0085311F">
        <w:t>al</w:t>
      </w:r>
      <w:r w:rsidRPr="00E92B26">
        <w:t xml:space="preserve"> </w:t>
      </w:r>
      <w:r w:rsidR="005A2308">
        <w:t xml:space="preserve">of </w:t>
      </w:r>
      <w:r w:rsidRPr="00E92B26">
        <w:t xml:space="preserve">the </w:t>
      </w:r>
      <w:r w:rsidR="003E5CBF">
        <w:t>temporary traffic</w:t>
      </w:r>
      <w:r w:rsidR="003E5CBF" w:rsidRPr="00E92B26">
        <w:t xml:space="preserve"> </w:t>
      </w:r>
      <w:r w:rsidRPr="00E92B26">
        <w:t>diversion will be evaluated under Subsection</w:t>
      </w:r>
      <w:r w:rsidR="005A2308">
        <w:t>s</w:t>
      </w:r>
      <w:r w:rsidRPr="00E92B26">
        <w:t xml:space="preserve"> 106.02</w:t>
      </w:r>
      <w:r w:rsidR="005A2308">
        <w:t xml:space="preserve"> and 106.04.</w:t>
      </w:r>
    </w:p>
    <w:p w14:paraId="342B087E" w14:textId="77777777" w:rsidR="00E54711" w:rsidRPr="000D0072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Arial" w:eastAsia="MS Mincho" w:hAnsi="Arial" w:cs="Arial"/>
          <w:vanish/>
          <w:color w:val="0000FF"/>
        </w:rPr>
      </w:pPr>
      <w:r w:rsidRPr="000D0072">
        <w:rPr>
          <w:rFonts w:ascii="Arial" w:eastAsia="MS Mincho" w:hAnsi="Arial" w:cs="Arial"/>
          <w:vanish/>
          <w:color w:val="0000FF"/>
        </w:rPr>
        <w:t>Delete the yellow highlighted sentence if the temporary traffic diversion does not need to be paved.</w:t>
      </w:r>
    </w:p>
    <w:p w14:paraId="445EC246" w14:textId="77777777" w:rsidR="005A2308" w:rsidRDefault="005A2308" w:rsidP="005A2308">
      <w:pPr>
        <w:pStyle w:val="BodyText"/>
      </w:pPr>
      <w:r w:rsidRPr="00E54711">
        <w:rPr>
          <w:highlight w:val="yellow"/>
        </w:rPr>
        <w:t>Asphalt will be evaluated under Section 403.</w:t>
      </w:r>
    </w:p>
    <w:p w14:paraId="1D7C3AEF" w14:textId="27E92833" w:rsidR="00540AED" w:rsidRDefault="00540AED" w:rsidP="00332C18">
      <w:pPr>
        <w:pStyle w:val="BodyText"/>
      </w:pPr>
      <w:r w:rsidRPr="006D225A">
        <w:t xml:space="preserve">Crushed aggregate will be evaluated under </w:t>
      </w:r>
      <w:r>
        <w:t>Section 302.</w:t>
      </w:r>
    </w:p>
    <w:p w14:paraId="2673A8D2" w14:textId="1DB2B57A" w:rsidR="00540AED" w:rsidRDefault="00540AED" w:rsidP="00332C18">
      <w:pPr>
        <w:pStyle w:val="BodyText"/>
      </w:pPr>
      <w:r>
        <w:t>Erosion and sediment control will be evaluated under Section 157.</w:t>
      </w:r>
    </w:p>
    <w:p w14:paraId="16150BAB" w14:textId="326D4EC5" w:rsidR="00540AED" w:rsidRDefault="00540AED" w:rsidP="00332C18">
      <w:pPr>
        <w:pStyle w:val="BodyText"/>
      </w:pPr>
      <w:r>
        <w:t>Roadway excavation and embankment will be evaluated under Section 204.</w:t>
      </w:r>
    </w:p>
    <w:p w14:paraId="05C3F1C9" w14:textId="0F09F4A9" w:rsidR="005A2308" w:rsidRDefault="005A2308" w:rsidP="005A2308">
      <w:pPr>
        <w:pStyle w:val="BodyText"/>
      </w:pPr>
      <w:r>
        <w:t xml:space="preserve">Temporary stream diversion will be evaluated under Section </w:t>
      </w:r>
      <w:r w:rsidR="00FB2A72">
        <w:t>157</w:t>
      </w:r>
      <w:r>
        <w:t>.</w:t>
      </w:r>
    </w:p>
    <w:p w14:paraId="23FCBD39" w14:textId="135DE6FC" w:rsidR="00540AED" w:rsidRPr="00E92B26" w:rsidRDefault="00540AED" w:rsidP="00332C18">
      <w:pPr>
        <w:pStyle w:val="BodyText"/>
      </w:pPr>
      <w:r>
        <w:t>Temporary traffic control will be evaluated under Section 635.</w:t>
      </w:r>
    </w:p>
    <w:p w14:paraId="5902509D" w14:textId="77777777" w:rsidR="007B2025" w:rsidRPr="00332C18" w:rsidRDefault="007B2025" w:rsidP="00332C18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Measurement</w:t>
      </w:r>
    </w:p>
    <w:p w14:paraId="48DB816F" w14:textId="43C78F80" w:rsidR="007B2025" w:rsidRPr="00E92B26" w:rsidRDefault="007B2025" w:rsidP="00332C18">
      <w:pPr>
        <w:pStyle w:val="BodyText"/>
      </w:pPr>
      <w:r w:rsidRPr="00332C18">
        <w:rPr>
          <w:b/>
          <w:bCs/>
        </w:rPr>
        <w:t>650.0</w:t>
      </w:r>
      <w:r w:rsidR="00ED7C2F">
        <w:rPr>
          <w:b/>
          <w:bCs/>
        </w:rPr>
        <w:t>9</w:t>
      </w:r>
      <w:r w:rsidRPr="00332C18">
        <w:t xml:space="preserve"> M</w:t>
      </w:r>
      <w:r w:rsidRPr="00E92B26">
        <w:t xml:space="preserve">easure the Section 650 </w:t>
      </w:r>
      <w:r w:rsidR="00013FCD">
        <w:t xml:space="preserve">pay </w:t>
      </w:r>
      <w:r w:rsidRPr="00E92B26">
        <w:t>items listed in the bid schedule according to Subsection 109.02.</w:t>
      </w:r>
    </w:p>
    <w:p w14:paraId="28015678" w14:textId="43921C95" w:rsidR="007B2025" w:rsidRPr="00E92B26" w:rsidRDefault="007B2025" w:rsidP="00332C18">
      <w:pPr>
        <w:pStyle w:val="BodyText"/>
      </w:pPr>
      <w:r w:rsidRPr="00E92B26">
        <w:t xml:space="preserve">Do not measure individual items required to </w:t>
      </w:r>
      <w:r w:rsidR="00AD02AE">
        <w:t xml:space="preserve">design, </w:t>
      </w:r>
      <w:r w:rsidRPr="00E92B26">
        <w:t>construct</w:t>
      </w:r>
      <w:r>
        <w:t>,</w:t>
      </w:r>
      <w:r w:rsidRPr="00E92B26">
        <w:t xml:space="preserve"> maintain</w:t>
      </w:r>
      <w:r>
        <w:t>,</w:t>
      </w:r>
      <w:r w:rsidRPr="00E92B26">
        <w:t xml:space="preserve"> and remove the </w:t>
      </w:r>
      <w:r w:rsidR="005A2308">
        <w:t xml:space="preserve">temporary traffic </w:t>
      </w:r>
      <w:r w:rsidRPr="00E92B26">
        <w:t xml:space="preserve">diversion </w:t>
      </w:r>
      <w:r>
        <w:t>for payment.</w:t>
      </w:r>
    </w:p>
    <w:p w14:paraId="565EF696" w14:textId="77777777" w:rsidR="007B2025" w:rsidRPr="00332C18" w:rsidRDefault="007B2025" w:rsidP="00332C18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Payment</w:t>
      </w:r>
    </w:p>
    <w:p w14:paraId="1426ACCA" w14:textId="2E667A50" w:rsidR="007B2025" w:rsidRPr="00E92B26" w:rsidRDefault="007B2025" w:rsidP="00332C18">
      <w:pPr>
        <w:pStyle w:val="BodyText"/>
      </w:pPr>
      <w:r w:rsidRPr="00E92B26">
        <w:rPr>
          <w:b/>
          <w:bCs/>
        </w:rPr>
        <w:t>650.</w:t>
      </w:r>
      <w:r w:rsidR="00ED7C2F">
        <w:rPr>
          <w:b/>
          <w:bCs/>
        </w:rPr>
        <w:t>10</w:t>
      </w:r>
      <w:r w:rsidRPr="00E92B26">
        <w:rPr>
          <w:b/>
          <w:bCs/>
        </w:rPr>
        <w:t xml:space="preserve"> </w:t>
      </w:r>
      <w:r w:rsidRPr="00E92B26">
        <w:t>The accepted quantities will be paid at the contract price per unit of measurement for the Section 650 pay item</w:t>
      </w:r>
      <w:r w:rsidR="00013FCD">
        <w:t>s</w:t>
      </w:r>
      <w:r w:rsidRPr="00E92B26">
        <w:t xml:space="preserve"> listed in the bid schedule.</w:t>
      </w:r>
      <w:r>
        <w:t xml:space="preserve"> </w:t>
      </w:r>
      <w:r w:rsidRPr="00E92B26">
        <w:t xml:space="preserve">Payment will be full compensation for the work prescribed in this </w:t>
      </w:r>
      <w:r w:rsidR="0023295C">
        <w:t>S</w:t>
      </w:r>
      <w:r w:rsidRPr="00E92B26">
        <w:t>ection.</w:t>
      </w:r>
      <w:r>
        <w:t xml:space="preserve"> </w:t>
      </w:r>
      <w:r w:rsidRPr="00E92B26">
        <w:t>See Subsection 109.05.</w:t>
      </w:r>
    </w:p>
    <w:p w14:paraId="2ABF821F" w14:textId="45550677" w:rsidR="007B2025" w:rsidRDefault="007B2025" w:rsidP="00332C18">
      <w:pPr>
        <w:pStyle w:val="BodyText"/>
        <w:rPr>
          <w:spacing w:val="-2"/>
        </w:rPr>
      </w:pPr>
      <w:r w:rsidRPr="00E92B26">
        <w:rPr>
          <w:spacing w:val="-2"/>
        </w:rPr>
        <w:t>Progress payments will be paid as follows:</w:t>
      </w:r>
    </w:p>
    <w:p w14:paraId="580393D4" w14:textId="1CBC51AB" w:rsidR="00330D29" w:rsidRPr="005A4CFF" w:rsidRDefault="00B535E3" w:rsidP="00B535E3">
      <w:pPr>
        <w:pStyle w:val="BodyText"/>
        <w:ind w:left="360"/>
      </w:pPr>
      <w:r w:rsidRPr="00B535E3">
        <w:rPr>
          <w:b/>
          <w:bCs/>
        </w:rPr>
        <w:t>(a)</w:t>
      </w:r>
      <w:r>
        <w:t xml:space="preserve"> </w:t>
      </w:r>
      <w:r w:rsidR="00330D29" w:rsidRPr="005A4CFF">
        <w:t>50</w:t>
      </w:r>
      <w:r w:rsidR="00EE3E14">
        <w:t xml:space="preserve"> </w:t>
      </w:r>
      <w:r w:rsidR="00330D29" w:rsidRPr="005A4CFF">
        <w:t>percent of the pay item amount will be paid after installation.</w:t>
      </w:r>
    </w:p>
    <w:p w14:paraId="1C4B1B49" w14:textId="07BF1686" w:rsidR="00330D29" w:rsidRDefault="00B535E3" w:rsidP="00B535E3">
      <w:pPr>
        <w:pStyle w:val="BodyText"/>
        <w:ind w:left="360"/>
      </w:pPr>
      <w:r w:rsidRPr="00B535E3">
        <w:rPr>
          <w:b/>
          <w:bCs/>
        </w:rPr>
        <w:lastRenderedPageBreak/>
        <w:t>(b)</w:t>
      </w:r>
      <w:r>
        <w:t xml:space="preserve"> </w:t>
      </w:r>
      <w:r w:rsidR="00330D29" w:rsidRPr="005A4CFF">
        <w:t xml:space="preserve">The remaining portion of the pay item amount will be paid after the temporary </w:t>
      </w:r>
      <w:r w:rsidR="005A2308">
        <w:t>traffic</w:t>
      </w:r>
      <w:r w:rsidR="00330D29" w:rsidRPr="005A4CFF">
        <w:t xml:space="preserve"> diversions are removed from the project.</w:t>
      </w:r>
    </w:p>
    <w:p w14:paraId="284DD7CA" w14:textId="7030493A" w:rsidR="007B2025" w:rsidRDefault="007B2025" w:rsidP="00332C18">
      <w:pPr>
        <w:pStyle w:val="BodyText"/>
        <w:rPr>
          <w:spacing w:val="-2"/>
        </w:rPr>
      </w:pPr>
      <w:r w:rsidRPr="00E92B26">
        <w:rPr>
          <w:spacing w:val="-2"/>
        </w:rPr>
        <w:t xml:space="preserve">Payment for all or part of this item may be retained if the </w:t>
      </w:r>
      <w:r w:rsidR="0023295C">
        <w:rPr>
          <w:spacing w:val="-2"/>
        </w:rPr>
        <w:t xml:space="preserve">temporary traffic </w:t>
      </w:r>
      <w:r w:rsidRPr="00E92B26">
        <w:rPr>
          <w:spacing w:val="-2"/>
        </w:rPr>
        <w:t>diversion is not adequately maintained.</w:t>
      </w:r>
      <w:bookmarkEnd w:id="0"/>
    </w:p>
    <w:p w14:paraId="5980960B" w14:textId="77777777" w:rsidR="00E54711" w:rsidRDefault="00E54711" w:rsidP="00E54711">
      <w:pPr>
        <w:pStyle w:val="BodyText"/>
        <w:tabs>
          <w:tab w:val="left" w:pos="360"/>
        </w:tabs>
        <w:spacing w:after="0"/>
        <w:rPr>
          <w:vanish/>
        </w:rPr>
      </w:pPr>
    </w:p>
    <w:p w14:paraId="35090242" w14:textId="40E2A251" w:rsidR="00E54711" w:rsidRPr="00EE3E14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Arial" w:eastAsia="MS Mincho" w:hAnsi="Arial" w:cs="Arial"/>
          <w:vanish/>
          <w:color w:val="0000FF"/>
        </w:rPr>
      </w:pPr>
      <w:r w:rsidRPr="00EE3E14">
        <w:rPr>
          <w:rFonts w:ascii="Arial" w:eastAsia="MS Mincho" w:hAnsi="Arial" w:cs="Arial"/>
          <w:vanish/>
          <w:color w:val="0000FF"/>
        </w:rPr>
        <w:t>Include if the plans DO include a project specific temporary traffic diversion design.  Use pay item 65001-1000 Temporary Traffic Diversion. Revise the SCR to fit project-specific requirements.</w:t>
      </w:r>
    </w:p>
    <w:p w14:paraId="4F9D6B33" w14:textId="77777777" w:rsidR="00EE3E14" w:rsidRPr="00E92B26" w:rsidRDefault="00EE3E14" w:rsidP="00EE3E14">
      <w:pPr>
        <w:rPr>
          <w:u w:val="single"/>
        </w:rPr>
      </w:pPr>
      <w:r w:rsidRPr="00E92B26">
        <w:rPr>
          <w:u w:val="single"/>
        </w:rPr>
        <w:t>Add the following Section:</w:t>
      </w:r>
    </w:p>
    <w:p w14:paraId="652669F4" w14:textId="77777777" w:rsidR="00EE3E14" w:rsidRPr="00E92B26" w:rsidRDefault="00EE3E14" w:rsidP="00EE3E14">
      <w:pPr>
        <w:keepNext/>
        <w:spacing w:before="240" w:after="480"/>
        <w:jc w:val="center"/>
        <w:outlineLvl w:val="0"/>
        <w:rPr>
          <w:b/>
          <w:sz w:val="28"/>
        </w:rPr>
      </w:pPr>
      <w:r w:rsidRPr="00E92B26">
        <w:rPr>
          <w:b/>
          <w:sz w:val="28"/>
        </w:rPr>
        <w:t>Section 650. – CONSTRUCT AND MAINTAIN DIVERSION</w:t>
      </w:r>
    </w:p>
    <w:p w14:paraId="182F3F73" w14:textId="77777777" w:rsidR="00E54711" w:rsidRPr="00332C18" w:rsidRDefault="00E54711" w:rsidP="00E54711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Description</w:t>
      </w:r>
    </w:p>
    <w:p w14:paraId="67A1DCBE" w14:textId="79BE4A53" w:rsidR="00E54711" w:rsidRPr="003C4E6B" w:rsidRDefault="00E54711" w:rsidP="00E54711">
      <w:pPr>
        <w:spacing w:after="240"/>
        <w:rPr>
          <w:rStyle w:val="BodyTextChar"/>
        </w:rPr>
      </w:pPr>
      <w:r w:rsidRPr="003C4E6B">
        <w:rPr>
          <w:rStyle w:val="BodyTextChar"/>
          <w:b/>
          <w:bCs/>
        </w:rPr>
        <w:t>650.01</w:t>
      </w:r>
      <w:r w:rsidRPr="00E92B26">
        <w:rPr>
          <w:b/>
          <w:bCs/>
        </w:rPr>
        <w:t xml:space="preserve"> </w:t>
      </w:r>
      <w:r w:rsidRPr="003C4E6B">
        <w:rPr>
          <w:rStyle w:val="BodyTextChar"/>
        </w:rPr>
        <w:t>This work consists of constructing</w:t>
      </w:r>
      <w:r>
        <w:rPr>
          <w:rStyle w:val="BodyTextChar"/>
        </w:rPr>
        <w:t>,</w:t>
      </w:r>
      <w:r w:rsidRPr="003C4E6B">
        <w:rPr>
          <w:rStyle w:val="BodyTextChar"/>
        </w:rPr>
        <w:t xml:space="preserve"> maintaining</w:t>
      </w:r>
      <w:r>
        <w:rPr>
          <w:rStyle w:val="BodyTextChar"/>
        </w:rPr>
        <w:t>,</w:t>
      </w:r>
      <w:r w:rsidRPr="003C4E6B">
        <w:rPr>
          <w:rStyle w:val="BodyTextChar"/>
        </w:rPr>
        <w:t xml:space="preserve"> a</w:t>
      </w:r>
      <w:r>
        <w:rPr>
          <w:rStyle w:val="BodyTextChar"/>
        </w:rPr>
        <w:t>nd removing</w:t>
      </w:r>
      <w:r w:rsidRPr="003C4E6B">
        <w:rPr>
          <w:rStyle w:val="BodyTextChar"/>
        </w:rPr>
        <w:t xml:space="preserve"> </w:t>
      </w:r>
      <w:r>
        <w:rPr>
          <w:rStyle w:val="BodyTextChar"/>
        </w:rPr>
        <w:t>temporary traffic</w:t>
      </w:r>
      <w:r w:rsidRPr="003C4E6B">
        <w:rPr>
          <w:rStyle w:val="BodyTextChar"/>
        </w:rPr>
        <w:t xml:space="preserve"> diversion</w:t>
      </w:r>
      <w:r>
        <w:rPr>
          <w:rStyle w:val="BodyTextChar"/>
        </w:rPr>
        <w:t>s.</w:t>
      </w:r>
    </w:p>
    <w:p w14:paraId="479E472E" w14:textId="77777777" w:rsidR="00E54711" w:rsidRPr="00332C18" w:rsidRDefault="00E54711" w:rsidP="00E54711">
      <w:pPr>
        <w:pStyle w:val="BodyText"/>
        <w:jc w:val="center"/>
        <w:rPr>
          <w:rFonts w:eastAsia="MS Mincho"/>
          <w:b/>
          <w:bCs/>
        </w:rPr>
      </w:pPr>
      <w:r w:rsidRPr="00332C18">
        <w:rPr>
          <w:b/>
          <w:bCs/>
        </w:rPr>
        <w:t>Material</w:t>
      </w:r>
    </w:p>
    <w:p w14:paraId="1E1D879B" w14:textId="77777777" w:rsidR="00E54711" w:rsidRPr="00E92B26" w:rsidRDefault="00E54711" w:rsidP="00E54711">
      <w:pPr>
        <w:pStyle w:val="BodyText"/>
        <w:rPr>
          <w:b/>
          <w:bCs/>
          <w:u w:val="single"/>
        </w:rPr>
      </w:pPr>
      <w:r w:rsidRPr="00E92B26">
        <w:rPr>
          <w:b/>
          <w:bCs/>
        </w:rPr>
        <w:t xml:space="preserve">650.02 </w:t>
      </w:r>
      <w:r w:rsidRPr="00E92B26">
        <w:t>Conform to the following Subsection:</w:t>
      </w:r>
    </w:p>
    <w:p w14:paraId="27B0A652" w14:textId="7BE2A9EF" w:rsidR="00EE3E14" w:rsidRPr="00E92B26" w:rsidRDefault="00EE3E14" w:rsidP="000D0072">
      <w:pPr>
        <w:pStyle w:val="BodyText"/>
        <w:tabs>
          <w:tab w:val="clear" w:pos="9900"/>
          <w:tab w:val="left" w:pos="6480"/>
        </w:tabs>
        <w:spacing w:after="120"/>
        <w:ind w:left="360"/>
        <w:rPr>
          <w:rFonts w:eastAsia="MS Mincho"/>
          <w:szCs w:val="24"/>
        </w:rPr>
      </w:pPr>
      <w:r w:rsidRPr="00C94873">
        <w:t>Water</w:t>
      </w:r>
      <w:r>
        <w:tab/>
      </w:r>
      <w:r w:rsidRPr="00E92B26">
        <w:rPr>
          <w:rFonts w:eastAsia="MS Mincho"/>
          <w:szCs w:val="24"/>
        </w:rPr>
        <w:t>725.01</w:t>
      </w:r>
    </w:p>
    <w:p w14:paraId="48575642" w14:textId="77777777" w:rsidR="00E54711" w:rsidRPr="00332C18" w:rsidRDefault="00E54711" w:rsidP="00E54711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Construction Requirements</w:t>
      </w:r>
    </w:p>
    <w:p w14:paraId="59950734" w14:textId="669AEFDC" w:rsidR="00E54711" w:rsidRPr="00A42DB3" w:rsidRDefault="00E54711" w:rsidP="00E54711">
      <w:pPr>
        <w:pStyle w:val="BodyText"/>
        <w:rPr>
          <w:b/>
          <w:bCs/>
        </w:rPr>
      </w:pPr>
      <w:r w:rsidRPr="00A42DB3">
        <w:rPr>
          <w:b/>
          <w:bCs/>
        </w:rPr>
        <w:t>650.0</w:t>
      </w:r>
      <w:r w:rsidR="00ED7C2F">
        <w:rPr>
          <w:b/>
          <w:bCs/>
        </w:rPr>
        <w:t>3</w:t>
      </w:r>
      <w:r w:rsidRPr="00A42DB3">
        <w:rPr>
          <w:b/>
          <w:bCs/>
        </w:rPr>
        <w:t xml:space="preserve"> General.</w:t>
      </w:r>
      <w:r>
        <w:rPr>
          <w:b/>
          <w:bCs/>
        </w:rPr>
        <w:t xml:space="preserve"> </w:t>
      </w:r>
      <w:r w:rsidRPr="00E92B26">
        <w:t xml:space="preserve">Complete construction of the </w:t>
      </w:r>
      <w:r>
        <w:t xml:space="preserve">temporary traffic </w:t>
      </w:r>
      <w:r w:rsidRPr="00E92B26">
        <w:t xml:space="preserve">diversion </w:t>
      </w:r>
      <w:r>
        <w:t>before</w:t>
      </w:r>
      <w:r w:rsidRPr="00E92B26">
        <w:t xml:space="preserve"> use by public traffic</w:t>
      </w:r>
      <w:r>
        <w:t>.</w:t>
      </w:r>
    </w:p>
    <w:p w14:paraId="463348FC" w14:textId="77777777" w:rsidR="00E54711" w:rsidRPr="00EE3E14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Arial" w:eastAsia="MS Mincho" w:hAnsi="Arial" w:cs="Arial"/>
          <w:vanish/>
          <w:color w:val="0000FF"/>
        </w:rPr>
      </w:pPr>
      <w:r w:rsidRPr="00EE3E14">
        <w:rPr>
          <w:rFonts w:ascii="Arial" w:eastAsia="MS Mincho" w:hAnsi="Arial" w:cs="Arial"/>
          <w:vanish/>
          <w:color w:val="0000FF"/>
        </w:rPr>
        <w:t>Delete the yellow highlighted sentence if the temporary traffic diversion does not need to be paved.</w:t>
      </w:r>
    </w:p>
    <w:p w14:paraId="45423EF1" w14:textId="419E301B" w:rsidR="00E54711" w:rsidRDefault="00E54711" w:rsidP="00E54711">
      <w:pPr>
        <w:pStyle w:val="BodyText"/>
      </w:pPr>
      <w:r w:rsidRPr="00E92B26">
        <w:t xml:space="preserve">Install erosion </w:t>
      </w:r>
      <w:r>
        <w:t xml:space="preserve">and sediment </w:t>
      </w:r>
      <w:r w:rsidRPr="00E92B26">
        <w:t>control devices according to Section 157.</w:t>
      </w:r>
      <w:r>
        <w:t xml:space="preserve"> If required, construct temporary stream diversion according to Section </w:t>
      </w:r>
      <w:r w:rsidR="00EE3E14">
        <w:t>157</w:t>
      </w:r>
      <w:r>
        <w:t>. Perform earthwork a</w:t>
      </w:r>
      <w:r w:rsidRPr="00E92B26">
        <w:t>ccording to Section 204.</w:t>
      </w:r>
      <w:r>
        <w:t xml:space="preserve"> Place crushed aggregate according to Section 302. </w:t>
      </w:r>
      <w:r w:rsidRPr="00E54711">
        <w:rPr>
          <w:highlight w:val="yellow"/>
        </w:rPr>
        <w:t>Place asphalt according to Section 403.</w:t>
      </w:r>
    </w:p>
    <w:p w14:paraId="1975705B" w14:textId="77777777" w:rsidR="00E54711" w:rsidRPr="00E92B26" w:rsidRDefault="00E54711" w:rsidP="00E54711">
      <w:pPr>
        <w:pStyle w:val="BodyText"/>
      </w:pPr>
      <w:r>
        <w:t>Provide t</w:t>
      </w:r>
      <w:r w:rsidRPr="00E92B26">
        <w:t xml:space="preserve">emporary </w:t>
      </w:r>
      <w:r>
        <w:t>t</w:t>
      </w:r>
      <w:r w:rsidRPr="00E92B26">
        <w:t xml:space="preserve">raffic </w:t>
      </w:r>
      <w:r>
        <w:t>c</w:t>
      </w:r>
      <w:r w:rsidRPr="00E92B26">
        <w:t>ontrol according to Section 635.</w:t>
      </w:r>
    </w:p>
    <w:p w14:paraId="49640D81" w14:textId="77777777" w:rsidR="00E54711" w:rsidRPr="00E92B26" w:rsidRDefault="00E54711" w:rsidP="00E54711">
      <w:pPr>
        <w:pStyle w:val="BodyText"/>
      </w:pPr>
      <w:r w:rsidRPr="00E92B26">
        <w:rPr>
          <w:b/>
          <w:bCs/>
        </w:rPr>
        <w:t>650.0</w:t>
      </w:r>
      <w:r>
        <w:rPr>
          <w:b/>
          <w:bCs/>
        </w:rPr>
        <w:t>4</w:t>
      </w:r>
      <w:r w:rsidRPr="00E92B26">
        <w:rPr>
          <w:b/>
          <w:bCs/>
        </w:rPr>
        <w:t xml:space="preserve"> Maintenance.</w:t>
      </w:r>
      <w:r>
        <w:rPr>
          <w:b/>
          <w:bCs/>
        </w:rPr>
        <w:t xml:space="preserve"> </w:t>
      </w:r>
      <w:r w:rsidRPr="00E92B26">
        <w:t xml:space="preserve">Maintain the </w:t>
      </w:r>
      <w:r>
        <w:t xml:space="preserve">temporary traffic </w:t>
      </w:r>
      <w:r w:rsidRPr="00E92B26">
        <w:t>diversion</w:t>
      </w:r>
      <w:r>
        <w:t>, including erosion and sediment control and temporary traffic control,</w:t>
      </w:r>
      <w:r w:rsidRPr="00E92B26">
        <w:t xml:space="preserve"> the entire time it can be </w:t>
      </w:r>
      <w:r>
        <w:t>used</w:t>
      </w:r>
      <w:r w:rsidRPr="00E92B26">
        <w:t xml:space="preserve"> </w:t>
      </w:r>
      <w:r>
        <w:t xml:space="preserve">for </w:t>
      </w:r>
      <w:r w:rsidRPr="00E92B26">
        <w:t>public traffic.</w:t>
      </w:r>
      <w:r>
        <w:t xml:space="preserve"> </w:t>
      </w:r>
    </w:p>
    <w:p w14:paraId="1E66DB6B" w14:textId="136E7603" w:rsidR="00E54711" w:rsidRPr="00A42DB3" w:rsidRDefault="00E54711" w:rsidP="00E54711">
      <w:pPr>
        <w:pStyle w:val="BodyText"/>
        <w:rPr>
          <w:i/>
          <w:iCs/>
        </w:rPr>
      </w:pPr>
      <w:r>
        <w:rPr>
          <w:b/>
          <w:bCs/>
        </w:rPr>
        <w:t xml:space="preserve">650.05 Removal. </w:t>
      </w:r>
      <w:r w:rsidRPr="00E92B26">
        <w:t xml:space="preserve">Remove the </w:t>
      </w:r>
      <w:r>
        <w:t>temporary traffic diversion</w:t>
      </w:r>
      <w:r w:rsidRPr="00E92B26">
        <w:t xml:space="preserve"> </w:t>
      </w:r>
      <w:r>
        <w:t xml:space="preserve">to approximate </w:t>
      </w:r>
      <w:r w:rsidRPr="00DC15C7">
        <w:t>original or planned contours</w:t>
      </w:r>
      <w:r>
        <w:t xml:space="preserve"> </w:t>
      </w:r>
      <w:r w:rsidRPr="00E92B26">
        <w:t xml:space="preserve">once the mainline is open to the public </w:t>
      </w:r>
      <w:r>
        <w:t>and can accommodate</w:t>
      </w:r>
      <w:r w:rsidRPr="00E92B26">
        <w:t xml:space="preserve"> </w:t>
      </w:r>
      <w:r>
        <w:t xml:space="preserve">two-way </w:t>
      </w:r>
      <w:r w:rsidRPr="00E92B26">
        <w:t>traffic.</w:t>
      </w:r>
      <w:r>
        <w:t xml:space="preserve"> </w:t>
      </w:r>
      <w:r w:rsidRPr="00FC61E3">
        <w:t xml:space="preserve">Dispose of unsuitable or excess material according to </w:t>
      </w:r>
      <w:hyperlink w:anchor="_Toc131713276" w:history="1">
        <w:r w:rsidR="00EE3E14" w:rsidRPr="00FB2A72">
          <w:t>Subsection</w:t>
        </w:r>
        <w:r w:rsidR="00EE3E14">
          <w:t xml:space="preserve"> </w:t>
        </w:r>
        <w:r w:rsidR="00EE3E14" w:rsidRPr="00FB2A72">
          <w:t>203.0</w:t>
        </w:r>
        <w:r w:rsidR="00EE3E14">
          <w:t>5</w:t>
        </w:r>
      </w:hyperlink>
    </w:p>
    <w:p w14:paraId="6AFC4B45" w14:textId="473080CF" w:rsidR="00E54711" w:rsidRDefault="00E54711" w:rsidP="00E54711">
      <w:pPr>
        <w:pStyle w:val="BodyText"/>
      </w:pPr>
      <w:r>
        <w:rPr>
          <w:b/>
          <w:bCs/>
        </w:rPr>
        <w:t xml:space="preserve">650.06 Acceptance. </w:t>
      </w:r>
      <w:r>
        <w:t>C</w:t>
      </w:r>
      <w:r w:rsidRPr="00E92B26">
        <w:t>onstructi</w:t>
      </w:r>
      <w:r>
        <w:t xml:space="preserve">on, </w:t>
      </w:r>
      <w:r w:rsidRPr="00E92B26">
        <w:t>maint</w:t>
      </w:r>
      <w:r>
        <w:t>enance, and removal</w:t>
      </w:r>
      <w:r w:rsidRPr="00E92B26">
        <w:t xml:space="preserve"> </w:t>
      </w:r>
      <w:r>
        <w:t xml:space="preserve">of </w:t>
      </w:r>
      <w:r w:rsidRPr="00E92B26">
        <w:t xml:space="preserve">the </w:t>
      </w:r>
      <w:r>
        <w:t>temporary traffic</w:t>
      </w:r>
      <w:r w:rsidRPr="00E92B26">
        <w:t xml:space="preserve"> diversion will be evaluated under Subsection</w:t>
      </w:r>
      <w:r>
        <w:t>s</w:t>
      </w:r>
      <w:r w:rsidRPr="00E92B26">
        <w:t xml:space="preserve"> 106.02</w:t>
      </w:r>
      <w:r>
        <w:t xml:space="preserve"> and 106.04.</w:t>
      </w:r>
    </w:p>
    <w:p w14:paraId="3A68D0E5" w14:textId="77777777" w:rsidR="00CB1938" w:rsidRPr="00EE3E14" w:rsidRDefault="00CB1938" w:rsidP="00CB193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Arial" w:eastAsia="MS Mincho" w:hAnsi="Arial" w:cs="Arial"/>
          <w:vanish/>
          <w:color w:val="0000FF"/>
        </w:rPr>
      </w:pPr>
      <w:r w:rsidRPr="00EE3E14">
        <w:rPr>
          <w:rFonts w:ascii="Arial" w:eastAsia="MS Mincho" w:hAnsi="Arial" w:cs="Arial"/>
          <w:vanish/>
          <w:color w:val="0000FF"/>
        </w:rPr>
        <w:t>Delete the yellow highlighted sentence if the temporary traffic diversion does not need to be paved.</w:t>
      </w:r>
    </w:p>
    <w:p w14:paraId="6BE08721" w14:textId="77777777" w:rsidR="00E54711" w:rsidRDefault="00E54711" w:rsidP="00E54711">
      <w:pPr>
        <w:pStyle w:val="BodyText"/>
      </w:pPr>
      <w:r w:rsidRPr="00E54711">
        <w:rPr>
          <w:highlight w:val="yellow"/>
        </w:rPr>
        <w:t>Asphalt will be evaluated under Section 403.</w:t>
      </w:r>
    </w:p>
    <w:p w14:paraId="1FAD00F0" w14:textId="77777777" w:rsidR="00E54711" w:rsidRDefault="00E54711" w:rsidP="00E54711">
      <w:pPr>
        <w:pStyle w:val="BodyText"/>
      </w:pPr>
      <w:r w:rsidRPr="006D225A">
        <w:t xml:space="preserve">Crushed aggregate will be evaluated under </w:t>
      </w:r>
      <w:r>
        <w:t>Section 302.</w:t>
      </w:r>
    </w:p>
    <w:p w14:paraId="4B09CC15" w14:textId="77777777" w:rsidR="00E54711" w:rsidRDefault="00E54711" w:rsidP="00E54711">
      <w:pPr>
        <w:pStyle w:val="BodyText"/>
      </w:pPr>
      <w:r>
        <w:t>Erosion and sediment control will be evaluated under Section 157.</w:t>
      </w:r>
    </w:p>
    <w:p w14:paraId="51E713C0" w14:textId="77777777" w:rsidR="00E54711" w:rsidRDefault="00E54711" w:rsidP="00E54711">
      <w:pPr>
        <w:pStyle w:val="BodyText"/>
      </w:pPr>
      <w:r>
        <w:lastRenderedPageBreak/>
        <w:t>Roadway excavation and embankment will be evaluated under Section 204.</w:t>
      </w:r>
    </w:p>
    <w:p w14:paraId="28ED8996" w14:textId="0FB201DF" w:rsidR="00E54711" w:rsidRDefault="00E54711" w:rsidP="00E54711">
      <w:pPr>
        <w:pStyle w:val="BodyText"/>
      </w:pPr>
      <w:r>
        <w:t xml:space="preserve">Temporary stream diversion will be evaluated under Section </w:t>
      </w:r>
      <w:r w:rsidR="00EE3E14">
        <w:t>157</w:t>
      </w:r>
      <w:r>
        <w:t>.</w:t>
      </w:r>
    </w:p>
    <w:p w14:paraId="3BC41B5B" w14:textId="77777777" w:rsidR="00E54711" w:rsidRPr="00E92B26" w:rsidRDefault="00E54711" w:rsidP="00E54711">
      <w:pPr>
        <w:pStyle w:val="BodyText"/>
      </w:pPr>
      <w:r>
        <w:t>Temporary traffic control will be evaluated under Section 635.</w:t>
      </w:r>
    </w:p>
    <w:p w14:paraId="6D5A400E" w14:textId="77777777" w:rsidR="00E54711" w:rsidRPr="00332C18" w:rsidRDefault="00E54711" w:rsidP="00E54711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Measurement</w:t>
      </w:r>
    </w:p>
    <w:p w14:paraId="3A585CA9" w14:textId="77777777" w:rsidR="00E54711" w:rsidRPr="00E92B26" w:rsidRDefault="00E54711" w:rsidP="00E54711">
      <w:pPr>
        <w:pStyle w:val="BodyText"/>
      </w:pPr>
      <w:r w:rsidRPr="00332C18">
        <w:rPr>
          <w:b/>
          <w:bCs/>
        </w:rPr>
        <w:t>650.07</w:t>
      </w:r>
      <w:r w:rsidRPr="00332C18">
        <w:t xml:space="preserve"> M</w:t>
      </w:r>
      <w:r w:rsidRPr="00E92B26">
        <w:t xml:space="preserve">easure the Section 650 </w:t>
      </w:r>
      <w:r>
        <w:t xml:space="preserve">pay </w:t>
      </w:r>
      <w:r w:rsidRPr="00E92B26">
        <w:t>items listed in the bid schedule according to Subsection 109.02.</w:t>
      </w:r>
    </w:p>
    <w:p w14:paraId="6AE797BC" w14:textId="77777777" w:rsidR="00E54711" w:rsidRPr="00E92B26" w:rsidRDefault="00E54711" w:rsidP="00E54711">
      <w:pPr>
        <w:pStyle w:val="BodyText"/>
      </w:pPr>
      <w:r w:rsidRPr="00E92B26">
        <w:t>Do not measure individual items required to construct</w:t>
      </w:r>
      <w:r>
        <w:t>,</w:t>
      </w:r>
      <w:r w:rsidRPr="00E92B26">
        <w:t xml:space="preserve"> maintain</w:t>
      </w:r>
      <w:r>
        <w:t>,</w:t>
      </w:r>
      <w:r w:rsidRPr="00E92B26">
        <w:t xml:space="preserve"> and remove the </w:t>
      </w:r>
      <w:r>
        <w:t xml:space="preserve">temporary traffic </w:t>
      </w:r>
      <w:r w:rsidRPr="00E92B26">
        <w:t xml:space="preserve">diversion </w:t>
      </w:r>
      <w:r>
        <w:t>for payment.</w:t>
      </w:r>
    </w:p>
    <w:p w14:paraId="51B4E70E" w14:textId="77777777" w:rsidR="00E54711" w:rsidRPr="00332C18" w:rsidRDefault="00E54711" w:rsidP="00E54711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Payment</w:t>
      </w:r>
    </w:p>
    <w:p w14:paraId="2410E352" w14:textId="77777777" w:rsidR="00E54711" w:rsidRPr="00E92B26" w:rsidRDefault="00E54711" w:rsidP="00E54711">
      <w:pPr>
        <w:pStyle w:val="BodyText"/>
      </w:pPr>
      <w:r w:rsidRPr="00E92B26">
        <w:rPr>
          <w:b/>
          <w:bCs/>
        </w:rPr>
        <w:t>650.</w:t>
      </w:r>
      <w:r>
        <w:rPr>
          <w:b/>
          <w:bCs/>
        </w:rPr>
        <w:t>08</w:t>
      </w:r>
      <w:r w:rsidRPr="00E92B26">
        <w:rPr>
          <w:b/>
          <w:bCs/>
        </w:rPr>
        <w:t xml:space="preserve"> </w:t>
      </w:r>
      <w:r w:rsidRPr="00E92B26">
        <w:t>The accepted quantities will be paid at the contract price per unit of measurement for the Section 650 pay item</w:t>
      </w:r>
      <w:r>
        <w:t>s</w:t>
      </w:r>
      <w:r w:rsidRPr="00E92B26">
        <w:t xml:space="preserve"> listed in the bid schedule.</w:t>
      </w:r>
      <w:r>
        <w:t xml:space="preserve"> </w:t>
      </w:r>
      <w:r w:rsidRPr="00E92B26">
        <w:t xml:space="preserve">Payment will be full compensation for the work prescribed in this </w:t>
      </w:r>
      <w:r>
        <w:t>S</w:t>
      </w:r>
      <w:r w:rsidRPr="00E92B26">
        <w:t>ection.</w:t>
      </w:r>
      <w:r>
        <w:t xml:space="preserve"> </w:t>
      </w:r>
      <w:r w:rsidRPr="00E92B26">
        <w:t>See Subsection 109.05.</w:t>
      </w:r>
    </w:p>
    <w:p w14:paraId="36ED9575" w14:textId="77777777" w:rsidR="00E54711" w:rsidRDefault="00E54711" w:rsidP="00E54711">
      <w:pPr>
        <w:pStyle w:val="BodyText"/>
        <w:rPr>
          <w:spacing w:val="-2"/>
        </w:rPr>
      </w:pPr>
      <w:r w:rsidRPr="00E92B26">
        <w:rPr>
          <w:spacing w:val="-2"/>
        </w:rPr>
        <w:t>Progress payments will be paid as follows:</w:t>
      </w:r>
    </w:p>
    <w:p w14:paraId="538B8D15" w14:textId="71CBF65C" w:rsidR="00E54711" w:rsidRPr="005A4CFF" w:rsidRDefault="00B535E3" w:rsidP="00B535E3">
      <w:pPr>
        <w:pStyle w:val="BodyText"/>
        <w:ind w:left="360"/>
      </w:pPr>
      <w:r w:rsidRPr="00B535E3">
        <w:rPr>
          <w:b/>
          <w:bCs/>
        </w:rPr>
        <w:t>(a)</w:t>
      </w:r>
      <w:r>
        <w:t xml:space="preserve"> </w:t>
      </w:r>
      <w:r w:rsidR="00E54711" w:rsidRPr="005A4CFF">
        <w:t>50</w:t>
      </w:r>
      <w:r w:rsidR="00EE3E14">
        <w:t xml:space="preserve"> </w:t>
      </w:r>
      <w:r w:rsidR="00E54711" w:rsidRPr="005A4CFF">
        <w:t>percent of the pay item amount will be paid after installation.</w:t>
      </w:r>
    </w:p>
    <w:p w14:paraId="2BB047D4" w14:textId="29701632" w:rsidR="00E54711" w:rsidRDefault="00B535E3" w:rsidP="00B535E3">
      <w:pPr>
        <w:pStyle w:val="BodyText"/>
        <w:ind w:left="360"/>
      </w:pPr>
      <w:r w:rsidRPr="00B535E3">
        <w:rPr>
          <w:b/>
          <w:bCs/>
        </w:rPr>
        <w:t>(b)</w:t>
      </w:r>
      <w:r>
        <w:t xml:space="preserve"> </w:t>
      </w:r>
      <w:r w:rsidR="00E54711" w:rsidRPr="005A4CFF">
        <w:t xml:space="preserve">The remaining portion of the pay item amount will be paid after the temporary </w:t>
      </w:r>
      <w:r w:rsidR="00E54711">
        <w:t>traffic</w:t>
      </w:r>
      <w:r w:rsidR="00E54711" w:rsidRPr="005A4CFF">
        <w:t xml:space="preserve"> diversions are removed from the project.</w:t>
      </w:r>
    </w:p>
    <w:p w14:paraId="07761E99" w14:textId="2ACA6F39" w:rsidR="00E54711" w:rsidRPr="00E92B26" w:rsidRDefault="00E54711" w:rsidP="00332C18">
      <w:pPr>
        <w:pStyle w:val="BodyText"/>
        <w:rPr>
          <w:spacing w:val="-2"/>
        </w:rPr>
      </w:pPr>
      <w:r w:rsidRPr="00E92B26">
        <w:rPr>
          <w:spacing w:val="-2"/>
        </w:rPr>
        <w:t xml:space="preserve">Payment for all or part of this item may be retained if the </w:t>
      </w:r>
      <w:r>
        <w:rPr>
          <w:spacing w:val="-2"/>
        </w:rPr>
        <w:t xml:space="preserve">temporary traffic </w:t>
      </w:r>
      <w:r w:rsidRPr="00E92B26">
        <w:rPr>
          <w:spacing w:val="-2"/>
        </w:rPr>
        <w:t>diversion is not adequately maintained.</w:t>
      </w:r>
    </w:p>
    <w:sectPr w:rsidR="00E54711" w:rsidRPr="00E92B26" w:rsidSect="007B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1201"/>
    <w:multiLevelType w:val="multilevel"/>
    <w:tmpl w:val="1BF25492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1255E6"/>
    <w:multiLevelType w:val="multilevel"/>
    <w:tmpl w:val="1BF25492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6533EE"/>
    <w:multiLevelType w:val="hybridMultilevel"/>
    <w:tmpl w:val="D20E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793"/>
    <w:multiLevelType w:val="multilevel"/>
    <w:tmpl w:val="1BF25492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519C"/>
    <w:multiLevelType w:val="hybridMultilevel"/>
    <w:tmpl w:val="5EA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3964">
    <w:abstractNumId w:val="4"/>
  </w:num>
  <w:num w:numId="2" w16cid:durableId="28141873">
    <w:abstractNumId w:val="2"/>
  </w:num>
  <w:num w:numId="3" w16cid:durableId="1086077301">
    <w:abstractNumId w:val="5"/>
  </w:num>
  <w:num w:numId="4" w16cid:durableId="1114403572">
    <w:abstractNumId w:val="3"/>
  </w:num>
  <w:num w:numId="5" w16cid:durableId="243883060">
    <w:abstractNumId w:val="1"/>
  </w:num>
  <w:num w:numId="6" w16cid:durableId="179609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13FCD"/>
    <w:rsid w:val="000346A6"/>
    <w:rsid w:val="00050FED"/>
    <w:rsid w:val="00072085"/>
    <w:rsid w:val="000B1A42"/>
    <w:rsid w:val="000C29F3"/>
    <w:rsid w:val="000D0072"/>
    <w:rsid w:val="000D4C9A"/>
    <w:rsid w:val="000F3BF1"/>
    <w:rsid w:val="00120AA2"/>
    <w:rsid w:val="00153267"/>
    <w:rsid w:val="001927B8"/>
    <w:rsid w:val="001B4D3D"/>
    <w:rsid w:val="001C0F6D"/>
    <w:rsid w:val="0023295C"/>
    <w:rsid w:val="00241B95"/>
    <w:rsid w:val="00247478"/>
    <w:rsid w:val="00271A3C"/>
    <w:rsid w:val="00292B6F"/>
    <w:rsid w:val="00295804"/>
    <w:rsid w:val="002C3481"/>
    <w:rsid w:val="002C677B"/>
    <w:rsid w:val="002D6B03"/>
    <w:rsid w:val="002E4214"/>
    <w:rsid w:val="00313934"/>
    <w:rsid w:val="003306F6"/>
    <w:rsid w:val="00330D29"/>
    <w:rsid w:val="00332C18"/>
    <w:rsid w:val="003915B5"/>
    <w:rsid w:val="003C4E6B"/>
    <w:rsid w:val="003E5CBF"/>
    <w:rsid w:val="00412C7B"/>
    <w:rsid w:val="0045300A"/>
    <w:rsid w:val="004872DE"/>
    <w:rsid w:val="0049264F"/>
    <w:rsid w:val="004B6B2E"/>
    <w:rsid w:val="00521057"/>
    <w:rsid w:val="00521478"/>
    <w:rsid w:val="005334D5"/>
    <w:rsid w:val="00540AED"/>
    <w:rsid w:val="00571A55"/>
    <w:rsid w:val="005861D6"/>
    <w:rsid w:val="00587B02"/>
    <w:rsid w:val="005A2308"/>
    <w:rsid w:val="005E6A11"/>
    <w:rsid w:val="005E76CC"/>
    <w:rsid w:val="006038EB"/>
    <w:rsid w:val="0063272D"/>
    <w:rsid w:val="00645593"/>
    <w:rsid w:val="00654B41"/>
    <w:rsid w:val="0066149F"/>
    <w:rsid w:val="006B01D5"/>
    <w:rsid w:val="006F2315"/>
    <w:rsid w:val="00726ABA"/>
    <w:rsid w:val="007454B9"/>
    <w:rsid w:val="00757C77"/>
    <w:rsid w:val="007A6F6D"/>
    <w:rsid w:val="007B2025"/>
    <w:rsid w:val="00816D4C"/>
    <w:rsid w:val="0085311F"/>
    <w:rsid w:val="00895116"/>
    <w:rsid w:val="00940AFD"/>
    <w:rsid w:val="00945CED"/>
    <w:rsid w:val="009749EC"/>
    <w:rsid w:val="00977260"/>
    <w:rsid w:val="00977520"/>
    <w:rsid w:val="0097799C"/>
    <w:rsid w:val="0098727F"/>
    <w:rsid w:val="009B63F0"/>
    <w:rsid w:val="009E1D00"/>
    <w:rsid w:val="009E48A8"/>
    <w:rsid w:val="009E62AE"/>
    <w:rsid w:val="00A04ADC"/>
    <w:rsid w:val="00A07F4E"/>
    <w:rsid w:val="00A35B6A"/>
    <w:rsid w:val="00A42DB3"/>
    <w:rsid w:val="00AB0C42"/>
    <w:rsid w:val="00AC1195"/>
    <w:rsid w:val="00AC7DF7"/>
    <w:rsid w:val="00AD02AE"/>
    <w:rsid w:val="00B06AED"/>
    <w:rsid w:val="00B24FC8"/>
    <w:rsid w:val="00B50126"/>
    <w:rsid w:val="00B535E3"/>
    <w:rsid w:val="00B95371"/>
    <w:rsid w:val="00BA0ED1"/>
    <w:rsid w:val="00BD2E6C"/>
    <w:rsid w:val="00BF2542"/>
    <w:rsid w:val="00C02020"/>
    <w:rsid w:val="00CB1938"/>
    <w:rsid w:val="00CB6C05"/>
    <w:rsid w:val="00CC064D"/>
    <w:rsid w:val="00CF34AF"/>
    <w:rsid w:val="00D52256"/>
    <w:rsid w:val="00DA4203"/>
    <w:rsid w:val="00DC15C7"/>
    <w:rsid w:val="00E0537F"/>
    <w:rsid w:val="00E15DBE"/>
    <w:rsid w:val="00E2631F"/>
    <w:rsid w:val="00E44BDA"/>
    <w:rsid w:val="00E54711"/>
    <w:rsid w:val="00EC0804"/>
    <w:rsid w:val="00ED7C2F"/>
    <w:rsid w:val="00EE1DDA"/>
    <w:rsid w:val="00EE3E14"/>
    <w:rsid w:val="00EE3E36"/>
    <w:rsid w:val="00F52E08"/>
    <w:rsid w:val="00F73FE7"/>
    <w:rsid w:val="00FB2A72"/>
    <w:rsid w:val="00FB6C1A"/>
    <w:rsid w:val="00FE5879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materialslist">
    <w:name w:val="materials list"/>
    <w:basedOn w:val="Normal"/>
    <w:rsid w:val="007B2025"/>
    <w:pPr>
      <w:tabs>
        <w:tab w:val="left" w:pos="5040"/>
      </w:tabs>
      <w:spacing w:line="240" w:lineRule="atLeast"/>
      <w:ind w:left="360"/>
      <w:jc w:val="both"/>
    </w:pPr>
    <w:rPr>
      <w:spacing w:val="-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025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0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A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cf01">
    <w:name w:val="cf01"/>
    <w:basedOn w:val="DefaultParagraphFont"/>
    <w:rsid w:val="005E76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E665-B934-44DA-8FBC-AE33BBDA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Christine (FHWA)</dc:creator>
  <cp:keywords/>
  <dc:description/>
  <cp:lastModifiedBy>Black, Christine (FHWA)</cp:lastModifiedBy>
  <cp:revision>5</cp:revision>
  <dcterms:created xsi:type="dcterms:W3CDTF">2024-08-05T20:13:00Z</dcterms:created>
  <dcterms:modified xsi:type="dcterms:W3CDTF">2024-08-26T21:45:00Z</dcterms:modified>
</cp:coreProperties>
</file>